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b/>
          <w:bCs/>
          <w:color w:val="000000"/>
          <w:highlight w:val="none"/>
        </w:rPr>
      </w:pPr>
      <w:r>
        <w:rPr>
          <w:rFonts w:hint="eastAsia" w:ascii="宋体" w:hAnsi="宋体" w:eastAsia="宋体" w:cs="宋体"/>
          <w:b/>
          <w:bCs/>
          <w:color w:val="000000"/>
          <w:highlight w:val="none"/>
        </w:rPr>
        <w:t>版本号：202</w:t>
      </w:r>
      <w:r>
        <w:rPr>
          <w:rFonts w:hint="eastAsia" w:ascii="宋体" w:hAnsi="宋体" w:eastAsia="宋体" w:cs="宋体"/>
          <w:b/>
          <w:bCs/>
          <w:color w:val="000000"/>
          <w:highlight w:val="none"/>
          <w:lang w:val="en-US" w:eastAsia="zh-CN"/>
        </w:rPr>
        <w:t>1</w:t>
      </w:r>
      <w:r>
        <w:rPr>
          <w:rFonts w:hint="eastAsia" w:ascii="宋体" w:hAnsi="宋体" w:eastAsia="宋体" w:cs="宋体"/>
          <w:b/>
          <w:bCs/>
          <w:color w:val="000000"/>
          <w:highlight w:val="none"/>
        </w:rPr>
        <w:t>年</w:t>
      </w:r>
      <w:r>
        <w:rPr>
          <w:rFonts w:hint="eastAsia" w:ascii="宋体" w:hAnsi="宋体" w:eastAsia="宋体" w:cs="宋体"/>
          <w:b/>
          <w:bCs/>
          <w:color w:val="000000"/>
          <w:highlight w:val="none"/>
          <w:lang w:val="en-US" w:eastAsia="zh-CN"/>
        </w:rPr>
        <w:t>4</w:t>
      </w:r>
      <w:r>
        <w:rPr>
          <w:rFonts w:hint="eastAsia" w:ascii="宋体" w:hAnsi="宋体" w:eastAsia="宋体" w:cs="宋体"/>
          <w:b/>
          <w:bCs/>
          <w:color w:val="000000"/>
          <w:highlight w:val="none"/>
        </w:rPr>
        <w:t>月版</w:t>
      </w:r>
    </w:p>
    <w:p>
      <w:pPr>
        <w:adjustRightInd w:val="0"/>
        <w:snapToGrid w:val="0"/>
        <w:spacing w:line="360" w:lineRule="auto"/>
        <w:ind w:firstLine="4779" w:firstLineChars="1700"/>
        <w:rPr>
          <w:rFonts w:hint="eastAsia" w:ascii="宋体" w:hAnsi="宋体" w:eastAsia="宋体" w:cs="宋体"/>
          <w:sz w:val="44"/>
          <w:highlight w:val="none"/>
        </w:rPr>
      </w:pPr>
      <w:r>
        <w:rPr>
          <w:rFonts w:hint="eastAsia" w:ascii="宋体" w:hAnsi="宋体" w:eastAsia="宋体" w:cs="宋体"/>
          <w:b/>
          <w:bCs/>
          <w:sz w:val="28"/>
          <w:highlight w:val="none"/>
        </w:rPr>
        <w:t>标段编号：</w:t>
      </w:r>
      <w:r>
        <w:rPr>
          <w:rFonts w:hint="eastAsia" w:ascii="宋体" w:hAnsi="宋体" w:eastAsia="宋体" w:cs="宋体"/>
          <w:bCs/>
          <w:sz w:val="28"/>
          <w:highlight w:val="none"/>
          <w:u w:val="single"/>
        </w:rPr>
        <w:t xml:space="preserve">      </w:t>
      </w:r>
    </w:p>
    <w:p>
      <w:pPr>
        <w:adjustRightInd w:val="0"/>
        <w:snapToGrid w:val="0"/>
        <w:spacing w:line="360" w:lineRule="auto"/>
        <w:rPr>
          <w:rFonts w:ascii="黑体" w:eastAsia="黑体"/>
          <w:b/>
          <w:bCs/>
          <w:sz w:val="28"/>
          <w:szCs w:val="28"/>
          <w:highlight w:val="none"/>
        </w:rPr>
      </w:pPr>
    </w:p>
    <w:p>
      <w:pPr>
        <w:adjustRightInd w:val="0"/>
        <w:snapToGrid w:val="0"/>
        <w:spacing w:line="360" w:lineRule="auto"/>
        <w:rPr>
          <w:rFonts w:ascii="黑体" w:eastAsia="黑体"/>
          <w:b/>
          <w:bCs/>
          <w:sz w:val="28"/>
          <w:szCs w:val="28"/>
          <w:highlight w:val="none"/>
        </w:rPr>
      </w:pPr>
    </w:p>
    <w:p>
      <w:pPr>
        <w:adjustRightInd w:val="0"/>
        <w:snapToGrid w:val="0"/>
        <w:spacing w:line="360" w:lineRule="auto"/>
        <w:jc w:val="center"/>
        <w:rPr>
          <w:rFonts w:ascii="黑体" w:eastAsia="黑体"/>
          <w:b/>
          <w:bCs/>
          <w:sz w:val="72"/>
          <w:highlight w:val="none"/>
        </w:rPr>
      </w:pPr>
      <w:r>
        <w:rPr>
          <w:rFonts w:hint="eastAsia" w:ascii="黑体" w:eastAsia="黑体"/>
          <w:b/>
          <w:bCs/>
          <w:sz w:val="72"/>
          <w:highlight w:val="none"/>
        </w:rPr>
        <w:t>深圳市建设工程</w:t>
      </w:r>
    </w:p>
    <w:p>
      <w:pPr>
        <w:adjustRightInd w:val="0"/>
        <w:snapToGrid w:val="0"/>
        <w:spacing w:line="360" w:lineRule="auto"/>
        <w:jc w:val="center"/>
        <w:rPr>
          <w:rFonts w:ascii="黑体" w:eastAsia="黑体"/>
          <w:b/>
          <w:bCs/>
          <w:sz w:val="72"/>
          <w:highlight w:val="none"/>
        </w:rPr>
      </w:pPr>
      <w:r>
        <w:rPr>
          <w:rFonts w:hint="eastAsia" w:ascii="黑体" w:eastAsia="黑体"/>
          <w:b/>
          <w:bCs/>
          <w:sz w:val="72"/>
          <w:highlight w:val="none"/>
        </w:rPr>
        <w:t>施工类招标文件</w:t>
      </w:r>
    </w:p>
    <w:p>
      <w:pPr>
        <w:adjustRightInd w:val="0"/>
        <w:snapToGrid w:val="0"/>
        <w:spacing w:line="360" w:lineRule="auto"/>
        <w:jc w:val="center"/>
        <w:rPr>
          <w:b/>
          <w:sz w:val="36"/>
          <w:szCs w:val="36"/>
          <w:highlight w:val="none"/>
        </w:rPr>
      </w:pPr>
      <w:r>
        <w:rPr>
          <w:rFonts w:hint="eastAsia"/>
          <w:b/>
          <w:sz w:val="36"/>
          <w:szCs w:val="36"/>
          <w:highlight w:val="none"/>
        </w:rPr>
        <w:t>（</w:t>
      </w:r>
      <w:r>
        <w:rPr>
          <w:rFonts w:hint="eastAsia"/>
          <w:b/>
          <w:color w:val="000000"/>
          <w:sz w:val="36"/>
          <w:szCs w:val="36"/>
          <w:highlight w:val="none"/>
        </w:rPr>
        <w:t>示范文本</w:t>
      </w:r>
      <w:r>
        <w:rPr>
          <w:rFonts w:hint="eastAsia"/>
          <w:b/>
          <w:sz w:val="36"/>
          <w:szCs w:val="36"/>
          <w:highlight w:val="none"/>
        </w:rPr>
        <w:t>）</w:t>
      </w:r>
    </w:p>
    <w:p>
      <w:pPr>
        <w:adjustRightInd w:val="0"/>
        <w:snapToGrid w:val="0"/>
        <w:spacing w:line="360" w:lineRule="auto"/>
        <w:ind w:firstLine="840" w:firstLineChars="300"/>
        <w:rPr>
          <w:b/>
          <w:bCs/>
          <w:sz w:val="28"/>
          <w:highlight w:val="none"/>
        </w:rPr>
      </w:pPr>
    </w:p>
    <w:p>
      <w:pPr>
        <w:adjustRightInd w:val="0"/>
        <w:snapToGrid w:val="0"/>
        <w:spacing w:line="360" w:lineRule="auto"/>
        <w:ind w:firstLine="840" w:firstLineChars="300"/>
        <w:rPr>
          <w:b/>
          <w:bCs/>
          <w:sz w:val="28"/>
          <w:highlight w:val="none"/>
        </w:rPr>
      </w:pPr>
    </w:p>
    <w:p>
      <w:pPr>
        <w:adjustRightInd w:val="0"/>
        <w:snapToGrid w:val="0"/>
        <w:spacing w:line="360" w:lineRule="auto"/>
        <w:ind w:firstLine="843" w:firstLineChars="300"/>
        <w:rPr>
          <w:rFonts w:hint="eastAsia" w:ascii="宋体" w:hAnsi="宋体" w:eastAsia="宋体" w:cs="宋体"/>
          <w:b/>
          <w:bCs/>
          <w:sz w:val="28"/>
          <w:highlight w:val="none"/>
        </w:rPr>
      </w:pPr>
      <w:r>
        <w:rPr>
          <w:rFonts w:hint="eastAsia" w:ascii="宋体" w:hAnsi="宋体" w:eastAsia="宋体" w:cs="宋体"/>
          <w:b/>
          <w:bCs/>
          <w:color w:val="000000"/>
          <w:sz w:val="28"/>
          <w:highlight w:val="none"/>
        </w:rPr>
        <w:t>标段</w:t>
      </w:r>
      <w:r>
        <w:rPr>
          <w:rFonts w:hint="eastAsia" w:ascii="宋体" w:hAnsi="宋体" w:eastAsia="宋体" w:cs="宋体"/>
          <w:b/>
          <w:bCs/>
          <w:sz w:val="28"/>
          <w:highlight w:val="none"/>
        </w:rPr>
        <w:t>名称：</w:t>
      </w:r>
      <w:r>
        <w:rPr>
          <w:rFonts w:hint="eastAsia" w:ascii="宋体" w:hAnsi="宋体" w:eastAsia="宋体" w:cs="宋体"/>
          <w:bCs/>
          <w:sz w:val="28"/>
          <w:highlight w:val="none"/>
          <w:u w:val="single"/>
        </w:rPr>
        <w:t xml:space="preserve">      </w:t>
      </w:r>
    </w:p>
    <w:p>
      <w:pPr>
        <w:adjustRightInd w:val="0"/>
        <w:snapToGrid w:val="0"/>
        <w:spacing w:line="360" w:lineRule="auto"/>
        <w:ind w:firstLine="843" w:firstLineChars="300"/>
        <w:rPr>
          <w:rFonts w:hint="eastAsia" w:ascii="宋体" w:hAnsi="宋体" w:eastAsia="宋体" w:cs="宋体"/>
          <w:b/>
          <w:bCs/>
          <w:sz w:val="28"/>
          <w:highlight w:val="none"/>
        </w:rPr>
      </w:pPr>
      <w:r>
        <w:rPr>
          <w:rFonts w:hint="eastAsia" w:ascii="宋体" w:hAnsi="宋体" w:eastAsia="宋体" w:cs="宋体"/>
          <w:b/>
          <w:bCs/>
          <w:sz w:val="28"/>
          <w:highlight w:val="none"/>
        </w:rPr>
        <w:t>招 标 人：</w:t>
      </w:r>
      <w:r>
        <w:rPr>
          <w:rFonts w:hint="eastAsia" w:ascii="宋体" w:hAnsi="宋体" w:eastAsia="宋体" w:cs="宋体"/>
          <w:bCs/>
          <w:sz w:val="28"/>
          <w:highlight w:val="none"/>
          <w:u w:val="single"/>
        </w:rPr>
        <w:t xml:space="preserve">      </w:t>
      </w:r>
    </w:p>
    <w:p>
      <w:pPr>
        <w:adjustRightInd w:val="0"/>
        <w:snapToGrid w:val="0"/>
        <w:spacing w:line="360" w:lineRule="auto"/>
        <w:ind w:firstLine="843" w:firstLineChars="300"/>
        <w:rPr>
          <w:rFonts w:hint="eastAsia" w:ascii="宋体" w:hAnsi="宋体" w:eastAsia="宋体" w:cs="宋体"/>
          <w:b/>
          <w:bCs/>
          <w:sz w:val="28"/>
          <w:highlight w:val="none"/>
        </w:rPr>
      </w:pPr>
      <w:r>
        <w:rPr>
          <w:rFonts w:hint="eastAsia" w:ascii="宋体" w:hAnsi="宋体" w:eastAsia="宋体" w:cs="宋体"/>
          <w:b/>
          <w:bCs/>
          <w:sz w:val="28"/>
          <w:highlight w:val="none"/>
        </w:rPr>
        <w:t>法定代表人或其委托代理人：</w:t>
      </w:r>
      <w:r>
        <w:rPr>
          <w:rFonts w:hint="eastAsia" w:ascii="宋体" w:hAnsi="宋体" w:eastAsia="宋体" w:cs="宋体"/>
          <w:bCs/>
          <w:sz w:val="28"/>
          <w:highlight w:val="none"/>
          <w:u w:val="single"/>
        </w:rPr>
        <w:t xml:space="preserve">      </w:t>
      </w:r>
    </w:p>
    <w:p>
      <w:pPr>
        <w:adjustRightInd w:val="0"/>
        <w:snapToGrid w:val="0"/>
        <w:spacing w:line="360" w:lineRule="auto"/>
        <w:ind w:firstLine="843" w:firstLineChars="300"/>
        <w:rPr>
          <w:rFonts w:hint="eastAsia" w:ascii="宋体" w:hAnsi="宋体" w:eastAsia="宋体" w:cs="宋体"/>
          <w:b/>
          <w:bCs/>
          <w:sz w:val="28"/>
          <w:highlight w:val="none"/>
        </w:rPr>
      </w:pPr>
      <w:r>
        <w:rPr>
          <w:rFonts w:hint="eastAsia" w:ascii="宋体" w:hAnsi="宋体" w:eastAsia="宋体" w:cs="宋体"/>
          <w:b/>
          <w:bCs/>
          <w:sz w:val="28"/>
          <w:highlight w:val="none"/>
        </w:rPr>
        <w:t>招标代理机构：</w:t>
      </w:r>
      <w:r>
        <w:rPr>
          <w:rFonts w:hint="eastAsia" w:ascii="宋体" w:hAnsi="宋体" w:eastAsia="宋体" w:cs="宋体"/>
          <w:bCs/>
          <w:sz w:val="28"/>
          <w:highlight w:val="none"/>
          <w:u w:val="single"/>
        </w:rPr>
        <w:t xml:space="preserve">      </w:t>
      </w:r>
    </w:p>
    <w:p>
      <w:pPr>
        <w:adjustRightInd w:val="0"/>
        <w:snapToGrid w:val="0"/>
        <w:spacing w:line="360" w:lineRule="auto"/>
        <w:ind w:firstLine="843" w:firstLineChars="300"/>
        <w:rPr>
          <w:rFonts w:hint="eastAsia" w:ascii="宋体" w:hAnsi="宋体" w:eastAsia="宋体" w:cs="宋体"/>
          <w:b/>
          <w:bCs/>
          <w:sz w:val="28"/>
          <w:highlight w:val="none"/>
        </w:rPr>
      </w:pPr>
      <w:r>
        <w:rPr>
          <w:rFonts w:hint="eastAsia" w:ascii="宋体" w:hAnsi="宋体" w:eastAsia="宋体" w:cs="宋体"/>
          <w:b/>
          <w:bCs/>
          <w:sz w:val="28"/>
          <w:highlight w:val="none"/>
        </w:rPr>
        <w:t>法定代表人或其委托代理人：</w:t>
      </w:r>
      <w:r>
        <w:rPr>
          <w:rFonts w:hint="eastAsia" w:ascii="宋体" w:hAnsi="宋体" w:eastAsia="宋体" w:cs="宋体"/>
          <w:bCs/>
          <w:sz w:val="28"/>
          <w:highlight w:val="none"/>
          <w:u w:val="single"/>
        </w:rPr>
        <w:t xml:space="preserve">      </w:t>
      </w:r>
    </w:p>
    <w:p>
      <w:pPr>
        <w:adjustRightInd w:val="0"/>
        <w:snapToGrid w:val="0"/>
        <w:spacing w:line="360" w:lineRule="auto"/>
        <w:jc w:val="center"/>
        <w:rPr>
          <w:b/>
          <w:bCs/>
          <w:sz w:val="28"/>
          <w:highlight w:val="none"/>
        </w:rPr>
      </w:pPr>
    </w:p>
    <w:p>
      <w:pPr>
        <w:adjustRightInd w:val="0"/>
        <w:snapToGrid w:val="0"/>
        <w:spacing w:line="360" w:lineRule="auto"/>
        <w:jc w:val="center"/>
        <w:rPr>
          <w:b/>
          <w:bCs/>
          <w:sz w:val="28"/>
          <w:highlight w:val="none"/>
        </w:rPr>
      </w:pPr>
    </w:p>
    <w:p>
      <w:pPr>
        <w:adjustRightInd w:val="0"/>
        <w:snapToGrid w:val="0"/>
        <w:spacing w:line="360" w:lineRule="auto"/>
        <w:jc w:val="center"/>
        <w:rPr>
          <w:b/>
          <w:bCs/>
          <w:sz w:val="28"/>
          <w:highlight w:val="none"/>
        </w:rPr>
      </w:pPr>
    </w:p>
    <w:p>
      <w:pPr>
        <w:adjustRightInd w:val="0"/>
        <w:snapToGrid w:val="0"/>
        <w:spacing w:line="360" w:lineRule="auto"/>
        <w:jc w:val="center"/>
        <w:rPr>
          <w:highlight w:val="none"/>
        </w:rPr>
      </w:pPr>
      <w:r>
        <w:rPr>
          <w:highlight w:val="none"/>
        </w:rPr>
        <w:br w:type="page"/>
      </w:r>
    </w:p>
    <w:p>
      <w:pPr>
        <w:jc w:val="center"/>
        <w:rPr>
          <w:rFonts w:hint="eastAsia" w:ascii="宋体" w:hAnsi="宋体" w:eastAsia="宋体" w:cs="宋体"/>
          <w:b/>
          <w:bCs/>
          <w:sz w:val="36"/>
          <w:szCs w:val="36"/>
          <w:highlight w:val="none"/>
          <w:lang w:eastAsia="zh-CN"/>
        </w:rPr>
      </w:pPr>
      <w:r>
        <w:rPr>
          <w:rFonts w:hint="eastAsia" w:ascii="宋体" w:hAnsi="宋体" w:eastAsia="宋体" w:cs="宋体"/>
          <w:b/>
          <w:bCs/>
          <w:sz w:val="36"/>
          <w:szCs w:val="36"/>
          <w:highlight w:val="none"/>
          <w:lang w:eastAsia="zh-CN"/>
        </w:rPr>
        <w:t>目</w:t>
      </w:r>
      <w:r>
        <w:rPr>
          <w:rFonts w:hint="eastAsia" w:ascii="宋体" w:hAnsi="宋体" w:eastAsia="宋体" w:cs="宋体"/>
          <w:b/>
          <w:bCs/>
          <w:sz w:val="36"/>
          <w:szCs w:val="36"/>
          <w:highlight w:val="none"/>
          <w:lang w:val="en-US" w:eastAsia="zh-CN"/>
        </w:rPr>
        <w:t xml:space="preserve">  </w:t>
      </w:r>
      <w:r>
        <w:rPr>
          <w:rFonts w:hint="eastAsia" w:ascii="宋体" w:hAnsi="宋体" w:eastAsia="宋体" w:cs="宋体"/>
          <w:b/>
          <w:bCs/>
          <w:sz w:val="36"/>
          <w:szCs w:val="36"/>
          <w:highlight w:val="none"/>
          <w:lang w:eastAsia="zh-CN"/>
        </w:rPr>
        <w:t>录</w:t>
      </w:r>
    </w:p>
    <w:p>
      <w:pPr>
        <w:pStyle w:val="26"/>
        <w:keepNext w:val="0"/>
        <w:keepLines w:val="0"/>
        <w:pageBreakBefore w:val="0"/>
        <w:widowControl/>
        <w:tabs>
          <w:tab w:val="right" w:leader="dot" w:pos="9073"/>
        </w:tabs>
        <w:kinsoku/>
        <w:wordWrap/>
        <w:overflowPunct/>
        <w:topLinePunct w:val="0"/>
        <w:autoSpaceDE/>
        <w:autoSpaceDN/>
        <w:bidi w:val="0"/>
        <w:adjustRightInd/>
        <w:snapToGrid/>
        <w:spacing w:before="0" w:after="0"/>
        <w:textAlignment w:val="auto"/>
        <w:rPr>
          <w:rFonts w:hint="eastAsia" w:ascii="宋体" w:hAnsi="宋体" w:eastAsia="宋体" w:cs="宋体"/>
          <w:sz w:val="21"/>
          <w:szCs w:val="21"/>
        </w:rPr>
      </w:pPr>
      <w:r>
        <w:rPr>
          <w:rFonts w:hint="eastAsia" w:ascii="宋体" w:hAnsi="宋体" w:eastAsia="宋体" w:cs="宋体"/>
          <w:b w:val="0"/>
          <w:i w:val="0"/>
          <w:caps w:val="0"/>
          <w:smallCaps w:val="0"/>
          <w:sz w:val="24"/>
          <w:szCs w:val="24"/>
          <w:highlight w:val="none"/>
          <w:lang w:eastAsia="zh-CN"/>
        </w:rPr>
        <w:fldChar w:fldCharType="begin"/>
      </w:r>
      <w:r>
        <w:rPr>
          <w:rFonts w:hint="eastAsia" w:ascii="宋体" w:hAnsi="宋体" w:eastAsia="宋体" w:cs="宋体"/>
          <w:b w:val="0"/>
          <w:i w:val="0"/>
          <w:caps w:val="0"/>
          <w:smallCaps w:val="0"/>
          <w:sz w:val="24"/>
          <w:szCs w:val="24"/>
          <w:highlight w:val="none"/>
          <w:lang w:eastAsia="zh-CN"/>
        </w:rPr>
        <w:instrText xml:space="preserve">TOC \o "1-3" \h \u </w:instrText>
      </w:r>
      <w:r>
        <w:rPr>
          <w:rFonts w:hint="eastAsia" w:ascii="宋体" w:hAnsi="宋体" w:eastAsia="宋体" w:cs="宋体"/>
          <w:b w:val="0"/>
          <w:i w:val="0"/>
          <w:caps w:val="0"/>
          <w:smallCaps w:val="0"/>
          <w:sz w:val="24"/>
          <w:szCs w:val="24"/>
          <w:highlight w:val="none"/>
          <w:lang w:eastAsia="zh-CN"/>
        </w:rPr>
        <w:fldChar w:fldCharType="separate"/>
      </w:r>
      <w:r>
        <w:rPr>
          <w:rFonts w:hint="eastAsia" w:ascii="宋体" w:hAnsi="宋体" w:eastAsia="宋体" w:cs="宋体"/>
          <w:i w:val="0"/>
          <w:caps w:val="0"/>
          <w:smallCaps w:val="0"/>
          <w:sz w:val="21"/>
          <w:szCs w:val="21"/>
          <w:highlight w:val="none"/>
          <w:lang w:eastAsia="zh-CN"/>
        </w:rPr>
        <w:fldChar w:fldCharType="begin"/>
      </w:r>
      <w:r>
        <w:rPr>
          <w:rFonts w:hint="eastAsia" w:ascii="宋体" w:hAnsi="宋体" w:eastAsia="宋体" w:cs="宋体"/>
          <w:i w:val="0"/>
          <w:caps w:val="0"/>
          <w:smallCaps w:val="0"/>
          <w:sz w:val="21"/>
          <w:szCs w:val="21"/>
          <w:highlight w:val="none"/>
          <w:lang w:eastAsia="zh-CN"/>
        </w:rPr>
        <w:instrText xml:space="preserve"> HYPERLINK \l _Toc4975 </w:instrText>
      </w:r>
      <w:r>
        <w:rPr>
          <w:rFonts w:hint="eastAsia" w:ascii="宋体" w:hAnsi="宋体" w:eastAsia="宋体" w:cs="宋体"/>
          <w:i w:val="0"/>
          <w:caps w:val="0"/>
          <w:smallCaps w:val="0"/>
          <w:sz w:val="21"/>
          <w:szCs w:val="21"/>
          <w:highlight w:val="none"/>
          <w:lang w:eastAsia="zh-CN"/>
        </w:rPr>
        <w:fldChar w:fldCharType="separate"/>
      </w:r>
      <w:r>
        <w:rPr>
          <w:rFonts w:hint="eastAsia" w:ascii="宋体" w:hAnsi="宋体" w:eastAsia="宋体" w:cs="宋体"/>
          <w:bCs/>
          <w:sz w:val="21"/>
          <w:szCs w:val="21"/>
          <w:highlight w:val="none"/>
        </w:rPr>
        <w:t>第一章  使用说明</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_Toc4975 </w:instrText>
      </w:r>
      <w:r>
        <w:rPr>
          <w:rFonts w:hint="eastAsia" w:ascii="宋体" w:hAnsi="宋体" w:eastAsia="宋体" w:cs="宋体"/>
          <w:sz w:val="21"/>
          <w:szCs w:val="21"/>
        </w:rPr>
        <w:fldChar w:fldCharType="separate"/>
      </w:r>
      <w:r>
        <w:rPr>
          <w:rFonts w:hint="eastAsia" w:ascii="宋体" w:hAnsi="宋体" w:eastAsia="宋体" w:cs="宋体"/>
          <w:sz w:val="21"/>
          <w:szCs w:val="21"/>
        </w:rPr>
        <w:t>３</w:t>
      </w:r>
      <w:r>
        <w:rPr>
          <w:rFonts w:hint="eastAsia" w:ascii="宋体" w:hAnsi="宋体" w:eastAsia="宋体" w:cs="宋体"/>
          <w:sz w:val="21"/>
          <w:szCs w:val="21"/>
        </w:rPr>
        <w:fldChar w:fldCharType="end"/>
      </w:r>
      <w:r>
        <w:rPr>
          <w:rFonts w:hint="eastAsia" w:ascii="宋体" w:hAnsi="宋体" w:eastAsia="宋体" w:cs="宋体"/>
          <w:i w:val="0"/>
          <w:caps w:val="0"/>
          <w:smallCaps w:val="0"/>
          <w:sz w:val="21"/>
          <w:szCs w:val="21"/>
          <w:highlight w:val="none"/>
          <w:lang w:eastAsia="zh-CN"/>
        </w:rPr>
        <w:fldChar w:fldCharType="end"/>
      </w:r>
    </w:p>
    <w:p>
      <w:pPr>
        <w:pStyle w:val="26"/>
        <w:keepNext w:val="0"/>
        <w:keepLines w:val="0"/>
        <w:pageBreakBefore w:val="0"/>
        <w:widowControl/>
        <w:tabs>
          <w:tab w:val="right" w:leader="dot" w:pos="9073"/>
        </w:tabs>
        <w:kinsoku/>
        <w:wordWrap/>
        <w:overflowPunct/>
        <w:topLinePunct w:val="0"/>
        <w:autoSpaceDE/>
        <w:autoSpaceDN/>
        <w:bidi w:val="0"/>
        <w:adjustRightInd/>
        <w:snapToGrid/>
        <w:spacing w:before="0" w:after="0"/>
        <w:textAlignment w:val="auto"/>
        <w:rPr>
          <w:rFonts w:hint="eastAsia" w:ascii="宋体" w:hAnsi="宋体" w:eastAsia="宋体" w:cs="宋体"/>
          <w:sz w:val="21"/>
          <w:szCs w:val="21"/>
        </w:rPr>
      </w:pPr>
      <w:r>
        <w:rPr>
          <w:rFonts w:hint="eastAsia" w:ascii="宋体" w:hAnsi="宋体" w:eastAsia="宋体" w:cs="宋体"/>
          <w:i w:val="0"/>
          <w:caps w:val="0"/>
          <w:smallCaps w:val="0"/>
          <w:sz w:val="21"/>
          <w:szCs w:val="21"/>
          <w:highlight w:val="none"/>
          <w:lang w:eastAsia="zh-CN"/>
        </w:rPr>
        <w:fldChar w:fldCharType="begin"/>
      </w:r>
      <w:r>
        <w:rPr>
          <w:rFonts w:hint="eastAsia" w:ascii="宋体" w:hAnsi="宋体" w:eastAsia="宋体" w:cs="宋体"/>
          <w:i w:val="0"/>
          <w:caps w:val="0"/>
          <w:smallCaps w:val="0"/>
          <w:sz w:val="21"/>
          <w:szCs w:val="21"/>
          <w:highlight w:val="none"/>
          <w:lang w:eastAsia="zh-CN"/>
        </w:rPr>
        <w:instrText xml:space="preserve"> HYPERLINK \l _Toc4234 </w:instrText>
      </w:r>
      <w:r>
        <w:rPr>
          <w:rFonts w:hint="eastAsia" w:ascii="宋体" w:hAnsi="宋体" w:eastAsia="宋体" w:cs="宋体"/>
          <w:i w:val="0"/>
          <w:caps w:val="0"/>
          <w:smallCaps w:val="0"/>
          <w:sz w:val="21"/>
          <w:szCs w:val="21"/>
          <w:highlight w:val="none"/>
          <w:lang w:eastAsia="zh-CN"/>
        </w:rPr>
        <w:fldChar w:fldCharType="separate"/>
      </w:r>
      <w:r>
        <w:rPr>
          <w:rFonts w:hint="eastAsia" w:ascii="宋体" w:hAnsi="宋体" w:eastAsia="宋体" w:cs="宋体"/>
          <w:bCs/>
          <w:sz w:val="21"/>
          <w:szCs w:val="21"/>
          <w:highlight w:val="none"/>
        </w:rPr>
        <w:t>第二章  投标须知</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_Toc4234 </w:instrText>
      </w:r>
      <w:r>
        <w:rPr>
          <w:rFonts w:hint="eastAsia" w:ascii="宋体" w:hAnsi="宋体" w:eastAsia="宋体" w:cs="宋体"/>
          <w:sz w:val="21"/>
          <w:szCs w:val="21"/>
        </w:rPr>
        <w:fldChar w:fldCharType="separate"/>
      </w:r>
      <w:r>
        <w:rPr>
          <w:rFonts w:hint="eastAsia" w:ascii="宋体" w:hAnsi="宋体" w:eastAsia="宋体" w:cs="宋体"/>
          <w:sz w:val="21"/>
          <w:szCs w:val="21"/>
        </w:rPr>
        <w:t>８</w:t>
      </w:r>
      <w:r>
        <w:rPr>
          <w:rFonts w:hint="eastAsia" w:ascii="宋体" w:hAnsi="宋体" w:eastAsia="宋体" w:cs="宋体"/>
          <w:sz w:val="21"/>
          <w:szCs w:val="21"/>
        </w:rPr>
        <w:fldChar w:fldCharType="end"/>
      </w:r>
      <w:r>
        <w:rPr>
          <w:rFonts w:hint="eastAsia" w:ascii="宋体" w:hAnsi="宋体" w:eastAsia="宋体" w:cs="宋体"/>
          <w:i w:val="0"/>
          <w:caps w:val="0"/>
          <w:smallCaps w:val="0"/>
          <w:sz w:val="21"/>
          <w:szCs w:val="21"/>
          <w:highlight w:val="none"/>
          <w:lang w:eastAsia="zh-CN"/>
        </w:rPr>
        <w:fldChar w:fldCharType="end"/>
      </w:r>
    </w:p>
    <w:p>
      <w:pPr>
        <w:pStyle w:val="31"/>
        <w:keepNext w:val="0"/>
        <w:keepLines w:val="0"/>
        <w:pageBreakBefore w:val="0"/>
        <w:widowControl/>
        <w:tabs>
          <w:tab w:val="right" w:leader="dot" w:pos="9073"/>
        </w:tabs>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i w:val="0"/>
          <w:caps w:val="0"/>
          <w:smallCaps w:val="0"/>
          <w:sz w:val="21"/>
          <w:szCs w:val="21"/>
          <w:highlight w:val="none"/>
          <w:lang w:eastAsia="zh-CN"/>
        </w:rPr>
        <w:fldChar w:fldCharType="begin"/>
      </w:r>
      <w:r>
        <w:rPr>
          <w:rFonts w:hint="eastAsia" w:ascii="宋体" w:hAnsi="宋体" w:eastAsia="宋体" w:cs="宋体"/>
          <w:i w:val="0"/>
          <w:caps w:val="0"/>
          <w:smallCaps w:val="0"/>
          <w:sz w:val="21"/>
          <w:szCs w:val="21"/>
          <w:highlight w:val="none"/>
          <w:lang w:eastAsia="zh-CN"/>
        </w:rPr>
        <w:instrText xml:space="preserve"> HYPERLINK \l _Toc10357 </w:instrText>
      </w:r>
      <w:r>
        <w:rPr>
          <w:rFonts w:hint="eastAsia" w:ascii="宋体" w:hAnsi="宋体" w:eastAsia="宋体" w:cs="宋体"/>
          <w:i w:val="0"/>
          <w:caps w:val="0"/>
          <w:smallCaps w:val="0"/>
          <w:sz w:val="21"/>
          <w:szCs w:val="21"/>
          <w:highlight w:val="none"/>
          <w:lang w:eastAsia="zh-CN"/>
        </w:rPr>
        <w:fldChar w:fldCharType="separate"/>
      </w:r>
      <w:r>
        <w:rPr>
          <w:rFonts w:hint="eastAsia" w:ascii="宋体" w:hAnsi="宋体" w:eastAsia="宋体" w:cs="宋体"/>
          <w:bCs/>
          <w:sz w:val="21"/>
          <w:szCs w:val="21"/>
          <w:highlight w:val="none"/>
        </w:rPr>
        <w:t>一、投标须知前附表</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_Toc10357 </w:instrText>
      </w:r>
      <w:r>
        <w:rPr>
          <w:rFonts w:hint="eastAsia" w:ascii="宋体" w:hAnsi="宋体" w:eastAsia="宋体" w:cs="宋体"/>
          <w:sz w:val="21"/>
          <w:szCs w:val="21"/>
        </w:rPr>
        <w:fldChar w:fldCharType="separate"/>
      </w:r>
      <w:r>
        <w:rPr>
          <w:rFonts w:hint="eastAsia" w:ascii="宋体" w:hAnsi="宋体" w:eastAsia="宋体" w:cs="宋体"/>
          <w:sz w:val="21"/>
          <w:szCs w:val="21"/>
        </w:rPr>
        <w:t>８</w:t>
      </w:r>
      <w:r>
        <w:rPr>
          <w:rFonts w:hint="eastAsia" w:ascii="宋体" w:hAnsi="宋体" w:eastAsia="宋体" w:cs="宋体"/>
          <w:sz w:val="21"/>
          <w:szCs w:val="21"/>
        </w:rPr>
        <w:fldChar w:fldCharType="end"/>
      </w:r>
      <w:r>
        <w:rPr>
          <w:rFonts w:hint="eastAsia" w:ascii="宋体" w:hAnsi="宋体" w:eastAsia="宋体" w:cs="宋体"/>
          <w:i w:val="0"/>
          <w:caps w:val="0"/>
          <w:smallCaps w:val="0"/>
          <w:sz w:val="21"/>
          <w:szCs w:val="21"/>
          <w:highlight w:val="none"/>
          <w:lang w:eastAsia="zh-CN"/>
        </w:rPr>
        <w:fldChar w:fldCharType="end"/>
      </w:r>
    </w:p>
    <w:p>
      <w:pPr>
        <w:pStyle w:val="31"/>
        <w:keepNext w:val="0"/>
        <w:keepLines w:val="0"/>
        <w:pageBreakBefore w:val="0"/>
        <w:widowControl/>
        <w:tabs>
          <w:tab w:val="right" w:leader="dot" w:pos="9073"/>
        </w:tabs>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i w:val="0"/>
          <w:caps w:val="0"/>
          <w:smallCaps w:val="0"/>
          <w:sz w:val="21"/>
          <w:szCs w:val="21"/>
          <w:highlight w:val="none"/>
          <w:lang w:eastAsia="zh-CN"/>
        </w:rPr>
        <w:fldChar w:fldCharType="begin"/>
      </w:r>
      <w:r>
        <w:rPr>
          <w:rFonts w:hint="eastAsia" w:ascii="宋体" w:hAnsi="宋体" w:eastAsia="宋体" w:cs="宋体"/>
          <w:i w:val="0"/>
          <w:caps w:val="0"/>
          <w:smallCaps w:val="0"/>
          <w:sz w:val="21"/>
          <w:szCs w:val="21"/>
          <w:highlight w:val="none"/>
          <w:lang w:eastAsia="zh-CN"/>
        </w:rPr>
        <w:instrText xml:space="preserve"> HYPERLINK \l _Toc28395 </w:instrText>
      </w:r>
      <w:r>
        <w:rPr>
          <w:rFonts w:hint="eastAsia" w:ascii="宋体" w:hAnsi="宋体" w:eastAsia="宋体" w:cs="宋体"/>
          <w:i w:val="0"/>
          <w:caps w:val="0"/>
          <w:smallCaps w:val="0"/>
          <w:sz w:val="21"/>
          <w:szCs w:val="21"/>
          <w:highlight w:val="none"/>
          <w:lang w:eastAsia="zh-CN"/>
        </w:rPr>
        <w:fldChar w:fldCharType="separate"/>
      </w:r>
      <w:r>
        <w:rPr>
          <w:rFonts w:hint="eastAsia" w:ascii="宋体" w:hAnsi="宋体" w:eastAsia="宋体" w:cs="宋体"/>
          <w:bCs/>
          <w:sz w:val="21"/>
          <w:szCs w:val="21"/>
          <w:highlight w:val="none"/>
        </w:rPr>
        <w:t>二、投标文件否决性条款</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_Toc28395 </w:instrText>
      </w:r>
      <w:r>
        <w:rPr>
          <w:rFonts w:hint="eastAsia" w:ascii="宋体" w:hAnsi="宋体" w:eastAsia="宋体" w:cs="宋体"/>
          <w:sz w:val="21"/>
          <w:szCs w:val="21"/>
        </w:rPr>
        <w:fldChar w:fldCharType="separate"/>
      </w:r>
      <w:r>
        <w:rPr>
          <w:rFonts w:hint="eastAsia" w:ascii="宋体" w:hAnsi="宋体" w:eastAsia="宋体" w:cs="宋体"/>
          <w:sz w:val="21"/>
          <w:szCs w:val="21"/>
        </w:rPr>
        <w:t>１３</w:t>
      </w:r>
      <w:r>
        <w:rPr>
          <w:rFonts w:hint="eastAsia" w:ascii="宋体" w:hAnsi="宋体" w:eastAsia="宋体" w:cs="宋体"/>
          <w:sz w:val="21"/>
          <w:szCs w:val="21"/>
        </w:rPr>
        <w:fldChar w:fldCharType="end"/>
      </w:r>
      <w:r>
        <w:rPr>
          <w:rFonts w:hint="eastAsia" w:ascii="宋体" w:hAnsi="宋体" w:eastAsia="宋体" w:cs="宋体"/>
          <w:i w:val="0"/>
          <w:caps w:val="0"/>
          <w:smallCaps w:val="0"/>
          <w:sz w:val="21"/>
          <w:szCs w:val="21"/>
          <w:highlight w:val="none"/>
          <w:lang w:eastAsia="zh-CN"/>
        </w:rPr>
        <w:fldChar w:fldCharType="end"/>
      </w:r>
    </w:p>
    <w:p>
      <w:pPr>
        <w:pStyle w:val="31"/>
        <w:keepNext w:val="0"/>
        <w:keepLines w:val="0"/>
        <w:pageBreakBefore w:val="0"/>
        <w:widowControl/>
        <w:tabs>
          <w:tab w:val="right" w:leader="dot" w:pos="9073"/>
        </w:tabs>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i w:val="0"/>
          <w:caps w:val="0"/>
          <w:smallCaps w:val="0"/>
          <w:sz w:val="21"/>
          <w:szCs w:val="21"/>
          <w:highlight w:val="none"/>
          <w:lang w:eastAsia="zh-CN"/>
        </w:rPr>
        <w:fldChar w:fldCharType="begin"/>
      </w:r>
      <w:r>
        <w:rPr>
          <w:rFonts w:hint="eastAsia" w:ascii="宋体" w:hAnsi="宋体" w:eastAsia="宋体" w:cs="宋体"/>
          <w:i w:val="0"/>
          <w:caps w:val="0"/>
          <w:smallCaps w:val="0"/>
          <w:sz w:val="21"/>
          <w:szCs w:val="21"/>
          <w:highlight w:val="none"/>
          <w:lang w:eastAsia="zh-CN"/>
        </w:rPr>
        <w:instrText xml:space="preserve"> HYPERLINK \l _Toc32026 </w:instrText>
      </w:r>
      <w:r>
        <w:rPr>
          <w:rFonts w:hint="eastAsia" w:ascii="宋体" w:hAnsi="宋体" w:eastAsia="宋体" w:cs="宋体"/>
          <w:i w:val="0"/>
          <w:caps w:val="0"/>
          <w:smallCaps w:val="0"/>
          <w:sz w:val="21"/>
          <w:szCs w:val="21"/>
          <w:highlight w:val="none"/>
          <w:lang w:eastAsia="zh-CN"/>
        </w:rPr>
        <w:fldChar w:fldCharType="separate"/>
      </w:r>
      <w:r>
        <w:rPr>
          <w:rFonts w:hint="eastAsia" w:ascii="宋体" w:hAnsi="宋体" w:eastAsia="宋体" w:cs="宋体"/>
          <w:bCs/>
          <w:sz w:val="21"/>
          <w:szCs w:val="21"/>
          <w:highlight w:val="none"/>
        </w:rPr>
        <w:t>三、招投标须知正文</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_Toc32026 </w:instrText>
      </w:r>
      <w:r>
        <w:rPr>
          <w:rFonts w:hint="eastAsia" w:ascii="宋体" w:hAnsi="宋体" w:eastAsia="宋体" w:cs="宋体"/>
          <w:sz w:val="21"/>
          <w:szCs w:val="21"/>
        </w:rPr>
        <w:fldChar w:fldCharType="separate"/>
      </w:r>
      <w:r>
        <w:rPr>
          <w:rFonts w:hint="eastAsia" w:ascii="宋体" w:hAnsi="宋体" w:eastAsia="宋体" w:cs="宋体"/>
          <w:sz w:val="21"/>
          <w:szCs w:val="21"/>
        </w:rPr>
        <w:t>１５</w:t>
      </w:r>
      <w:r>
        <w:rPr>
          <w:rFonts w:hint="eastAsia" w:ascii="宋体" w:hAnsi="宋体" w:eastAsia="宋体" w:cs="宋体"/>
          <w:sz w:val="21"/>
          <w:szCs w:val="21"/>
        </w:rPr>
        <w:fldChar w:fldCharType="end"/>
      </w:r>
      <w:r>
        <w:rPr>
          <w:rFonts w:hint="eastAsia" w:ascii="宋体" w:hAnsi="宋体" w:eastAsia="宋体" w:cs="宋体"/>
          <w:i w:val="0"/>
          <w:caps w:val="0"/>
          <w:smallCaps w:val="0"/>
          <w:sz w:val="21"/>
          <w:szCs w:val="21"/>
          <w:highlight w:val="none"/>
          <w:lang w:eastAsia="zh-CN"/>
        </w:rPr>
        <w:fldChar w:fldCharType="end"/>
      </w:r>
    </w:p>
    <w:p>
      <w:pPr>
        <w:pStyle w:val="18"/>
        <w:keepNext w:val="0"/>
        <w:keepLines w:val="0"/>
        <w:pageBreakBefore w:val="0"/>
        <w:widowControl/>
        <w:tabs>
          <w:tab w:val="right" w:leader="dot" w:pos="9073"/>
        </w:tabs>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i w:val="0"/>
          <w:caps w:val="0"/>
          <w:smallCaps w:val="0"/>
          <w:sz w:val="21"/>
          <w:szCs w:val="21"/>
          <w:highlight w:val="none"/>
          <w:lang w:eastAsia="zh-CN"/>
        </w:rPr>
        <w:fldChar w:fldCharType="begin"/>
      </w:r>
      <w:r>
        <w:rPr>
          <w:rFonts w:hint="eastAsia" w:ascii="宋体" w:hAnsi="宋体" w:eastAsia="宋体" w:cs="宋体"/>
          <w:i w:val="0"/>
          <w:caps w:val="0"/>
          <w:smallCaps w:val="0"/>
          <w:sz w:val="21"/>
          <w:szCs w:val="21"/>
          <w:highlight w:val="none"/>
          <w:lang w:eastAsia="zh-CN"/>
        </w:rPr>
        <w:instrText xml:space="preserve"> HYPERLINK \l _Toc18763 </w:instrText>
      </w:r>
      <w:r>
        <w:rPr>
          <w:rFonts w:hint="eastAsia" w:ascii="宋体" w:hAnsi="宋体" w:eastAsia="宋体" w:cs="宋体"/>
          <w:i w:val="0"/>
          <w:caps w:val="0"/>
          <w:smallCaps w:val="0"/>
          <w:sz w:val="21"/>
          <w:szCs w:val="21"/>
          <w:highlight w:val="none"/>
          <w:lang w:eastAsia="zh-CN"/>
        </w:rPr>
        <w:fldChar w:fldCharType="separate"/>
      </w:r>
      <w:r>
        <w:rPr>
          <w:rFonts w:hint="eastAsia" w:ascii="宋体" w:hAnsi="宋体" w:eastAsia="宋体" w:cs="宋体"/>
          <w:bCs w:val="0"/>
          <w:sz w:val="21"/>
          <w:szCs w:val="21"/>
          <w:highlight w:val="none"/>
          <w:lang w:val="en-US" w:eastAsia="zh-CN"/>
        </w:rPr>
        <w:t>（一）招标</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_Toc18763 </w:instrText>
      </w:r>
      <w:r>
        <w:rPr>
          <w:rFonts w:hint="eastAsia" w:ascii="宋体" w:hAnsi="宋体" w:eastAsia="宋体" w:cs="宋体"/>
          <w:sz w:val="21"/>
          <w:szCs w:val="21"/>
        </w:rPr>
        <w:fldChar w:fldCharType="separate"/>
      </w:r>
      <w:r>
        <w:rPr>
          <w:rFonts w:hint="eastAsia" w:ascii="宋体" w:hAnsi="宋体" w:eastAsia="宋体" w:cs="宋体"/>
          <w:sz w:val="21"/>
          <w:szCs w:val="21"/>
        </w:rPr>
        <w:t>１５</w:t>
      </w:r>
      <w:r>
        <w:rPr>
          <w:rFonts w:hint="eastAsia" w:ascii="宋体" w:hAnsi="宋体" w:eastAsia="宋体" w:cs="宋体"/>
          <w:sz w:val="21"/>
          <w:szCs w:val="21"/>
        </w:rPr>
        <w:fldChar w:fldCharType="end"/>
      </w:r>
      <w:r>
        <w:rPr>
          <w:rFonts w:hint="eastAsia" w:ascii="宋体" w:hAnsi="宋体" w:eastAsia="宋体" w:cs="宋体"/>
          <w:i w:val="0"/>
          <w:caps w:val="0"/>
          <w:smallCaps w:val="0"/>
          <w:sz w:val="21"/>
          <w:szCs w:val="21"/>
          <w:highlight w:val="none"/>
          <w:lang w:eastAsia="zh-CN"/>
        </w:rPr>
        <w:fldChar w:fldCharType="end"/>
      </w:r>
    </w:p>
    <w:p>
      <w:pPr>
        <w:pStyle w:val="18"/>
        <w:keepNext w:val="0"/>
        <w:keepLines w:val="0"/>
        <w:pageBreakBefore w:val="0"/>
        <w:widowControl/>
        <w:tabs>
          <w:tab w:val="right" w:leader="dot" w:pos="9073"/>
        </w:tabs>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i w:val="0"/>
          <w:caps w:val="0"/>
          <w:smallCaps w:val="0"/>
          <w:sz w:val="21"/>
          <w:szCs w:val="21"/>
          <w:highlight w:val="none"/>
          <w:lang w:eastAsia="zh-CN"/>
        </w:rPr>
        <w:fldChar w:fldCharType="begin"/>
      </w:r>
      <w:r>
        <w:rPr>
          <w:rFonts w:hint="eastAsia" w:ascii="宋体" w:hAnsi="宋体" w:eastAsia="宋体" w:cs="宋体"/>
          <w:i w:val="0"/>
          <w:caps w:val="0"/>
          <w:smallCaps w:val="0"/>
          <w:sz w:val="21"/>
          <w:szCs w:val="21"/>
          <w:highlight w:val="none"/>
          <w:lang w:eastAsia="zh-CN"/>
        </w:rPr>
        <w:instrText xml:space="preserve"> HYPERLINK \l _Toc28200 </w:instrText>
      </w:r>
      <w:r>
        <w:rPr>
          <w:rFonts w:hint="eastAsia" w:ascii="宋体" w:hAnsi="宋体" w:eastAsia="宋体" w:cs="宋体"/>
          <w:i w:val="0"/>
          <w:caps w:val="0"/>
          <w:smallCaps w:val="0"/>
          <w:sz w:val="21"/>
          <w:szCs w:val="21"/>
          <w:highlight w:val="none"/>
          <w:lang w:eastAsia="zh-CN"/>
        </w:rPr>
        <w:fldChar w:fldCharType="separate"/>
      </w:r>
      <w:r>
        <w:rPr>
          <w:rFonts w:hint="eastAsia" w:ascii="宋体" w:hAnsi="宋体" w:eastAsia="宋体" w:cs="宋体"/>
          <w:bCs w:val="0"/>
          <w:sz w:val="21"/>
          <w:szCs w:val="21"/>
          <w:highlight w:val="none"/>
          <w:lang w:val="en-US" w:eastAsia="zh-CN"/>
        </w:rPr>
        <w:t>（二）投标</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_Toc28200 </w:instrText>
      </w:r>
      <w:r>
        <w:rPr>
          <w:rFonts w:hint="eastAsia" w:ascii="宋体" w:hAnsi="宋体" w:eastAsia="宋体" w:cs="宋体"/>
          <w:sz w:val="21"/>
          <w:szCs w:val="21"/>
        </w:rPr>
        <w:fldChar w:fldCharType="separate"/>
      </w:r>
      <w:r>
        <w:rPr>
          <w:rFonts w:hint="eastAsia" w:ascii="宋体" w:hAnsi="宋体" w:eastAsia="宋体" w:cs="宋体"/>
          <w:sz w:val="21"/>
          <w:szCs w:val="21"/>
        </w:rPr>
        <w:t>１６</w:t>
      </w:r>
      <w:r>
        <w:rPr>
          <w:rFonts w:hint="eastAsia" w:ascii="宋体" w:hAnsi="宋体" w:eastAsia="宋体" w:cs="宋体"/>
          <w:sz w:val="21"/>
          <w:szCs w:val="21"/>
        </w:rPr>
        <w:fldChar w:fldCharType="end"/>
      </w:r>
      <w:r>
        <w:rPr>
          <w:rFonts w:hint="eastAsia" w:ascii="宋体" w:hAnsi="宋体" w:eastAsia="宋体" w:cs="宋体"/>
          <w:i w:val="0"/>
          <w:caps w:val="0"/>
          <w:smallCaps w:val="0"/>
          <w:sz w:val="21"/>
          <w:szCs w:val="21"/>
          <w:highlight w:val="none"/>
          <w:lang w:eastAsia="zh-CN"/>
        </w:rPr>
        <w:fldChar w:fldCharType="end"/>
      </w:r>
    </w:p>
    <w:p>
      <w:pPr>
        <w:pStyle w:val="18"/>
        <w:keepNext w:val="0"/>
        <w:keepLines w:val="0"/>
        <w:pageBreakBefore w:val="0"/>
        <w:widowControl/>
        <w:tabs>
          <w:tab w:val="right" w:leader="dot" w:pos="9073"/>
        </w:tabs>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i w:val="0"/>
          <w:caps w:val="0"/>
          <w:smallCaps w:val="0"/>
          <w:sz w:val="21"/>
          <w:szCs w:val="21"/>
          <w:highlight w:val="none"/>
          <w:lang w:eastAsia="zh-CN"/>
        </w:rPr>
        <w:fldChar w:fldCharType="begin"/>
      </w:r>
      <w:r>
        <w:rPr>
          <w:rFonts w:hint="eastAsia" w:ascii="宋体" w:hAnsi="宋体" w:eastAsia="宋体" w:cs="宋体"/>
          <w:i w:val="0"/>
          <w:caps w:val="0"/>
          <w:smallCaps w:val="0"/>
          <w:sz w:val="21"/>
          <w:szCs w:val="21"/>
          <w:highlight w:val="none"/>
          <w:lang w:eastAsia="zh-CN"/>
        </w:rPr>
        <w:instrText xml:space="preserve"> HYPERLINK \l _Toc23086 </w:instrText>
      </w:r>
      <w:r>
        <w:rPr>
          <w:rFonts w:hint="eastAsia" w:ascii="宋体" w:hAnsi="宋体" w:eastAsia="宋体" w:cs="宋体"/>
          <w:i w:val="0"/>
          <w:caps w:val="0"/>
          <w:smallCaps w:val="0"/>
          <w:sz w:val="21"/>
          <w:szCs w:val="21"/>
          <w:highlight w:val="none"/>
          <w:lang w:eastAsia="zh-CN"/>
        </w:rPr>
        <w:fldChar w:fldCharType="separate"/>
      </w:r>
      <w:r>
        <w:rPr>
          <w:rFonts w:hint="eastAsia" w:ascii="宋体" w:hAnsi="宋体" w:eastAsia="宋体" w:cs="宋体"/>
          <w:bCs w:val="0"/>
          <w:sz w:val="21"/>
          <w:szCs w:val="21"/>
          <w:highlight w:val="none"/>
          <w:lang w:val="en-US" w:eastAsia="zh-CN"/>
        </w:rPr>
        <w:t>（三）资格后审</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_Toc23086 </w:instrText>
      </w:r>
      <w:r>
        <w:rPr>
          <w:rFonts w:hint="eastAsia" w:ascii="宋体" w:hAnsi="宋体" w:eastAsia="宋体" w:cs="宋体"/>
          <w:sz w:val="21"/>
          <w:szCs w:val="21"/>
        </w:rPr>
        <w:fldChar w:fldCharType="separate"/>
      </w:r>
      <w:r>
        <w:rPr>
          <w:rFonts w:hint="eastAsia" w:ascii="宋体" w:hAnsi="宋体" w:eastAsia="宋体" w:cs="宋体"/>
          <w:sz w:val="21"/>
          <w:szCs w:val="21"/>
        </w:rPr>
        <w:t>２０</w:t>
      </w:r>
      <w:r>
        <w:rPr>
          <w:rFonts w:hint="eastAsia" w:ascii="宋体" w:hAnsi="宋体" w:eastAsia="宋体" w:cs="宋体"/>
          <w:sz w:val="21"/>
          <w:szCs w:val="21"/>
        </w:rPr>
        <w:fldChar w:fldCharType="end"/>
      </w:r>
      <w:r>
        <w:rPr>
          <w:rFonts w:hint="eastAsia" w:ascii="宋体" w:hAnsi="宋体" w:eastAsia="宋体" w:cs="宋体"/>
          <w:i w:val="0"/>
          <w:caps w:val="0"/>
          <w:smallCaps w:val="0"/>
          <w:sz w:val="21"/>
          <w:szCs w:val="21"/>
          <w:highlight w:val="none"/>
          <w:lang w:eastAsia="zh-CN"/>
        </w:rPr>
        <w:fldChar w:fldCharType="end"/>
      </w:r>
    </w:p>
    <w:p>
      <w:pPr>
        <w:pStyle w:val="18"/>
        <w:keepNext w:val="0"/>
        <w:keepLines w:val="0"/>
        <w:pageBreakBefore w:val="0"/>
        <w:widowControl/>
        <w:tabs>
          <w:tab w:val="right" w:leader="dot" w:pos="9073"/>
        </w:tabs>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i w:val="0"/>
          <w:caps w:val="0"/>
          <w:smallCaps w:val="0"/>
          <w:sz w:val="21"/>
          <w:szCs w:val="21"/>
          <w:highlight w:val="none"/>
          <w:lang w:eastAsia="zh-CN"/>
        </w:rPr>
        <w:fldChar w:fldCharType="begin"/>
      </w:r>
      <w:r>
        <w:rPr>
          <w:rFonts w:hint="eastAsia" w:ascii="宋体" w:hAnsi="宋体" w:eastAsia="宋体" w:cs="宋体"/>
          <w:i w:val="0"/>
          <w:caps w:val="0"/>
          <w:smallCaps w:val="0"/>
          <w:sz w:val="21"/>
          <w:szCs w:val="21"/>
          <w:highlight w:val="none"/>
          <w:lang w:eastAsia="zh-CN"/>
        </w:rPr>
        <w:instrText xml:space="preserve"> HYPERLINK \l _Toc24949 </w:instrText>
      </w:r>
      <w:r>
        <w:rPr>
          <w:rFonts w:hint="eastAsia" w:ascii="宋体" w:hAnsi="宋体" w:eastAsia="宋体" w:cs="宋体"/>
          <w:i w:val="0"/>
          <w:caps w:val="0"/>
          <w:smallCaps w:val="0"/>
          <w:sz w:val="21"/>
          <w:szCs w:val="21"/>
          <w:highlight w:val="none"/>
          <w:lang w:eastAsia="zh-CN"/>
        </w:rPr>
        <w:fldChar w:fldCharType="separate"/>
      </w:r>
      <w:r>
        <w:rPr>
          <w:rFonts w:hint="eastAsia" w:ascii="宋体" w:hAnsi="宋体" w:eastAsia="宋体" w:cs="宋体"/>
          <w:bCs w:val="0"/>
          <w:sz w:val="21"/>
          <w:szCs w:val="21"/>
          <w:highlight w:val="none"/>
          <w:lang w:val="en-US" w:eastAsia="zh-CN"/>
        </w:rPr>
        <w:t>（四）开标</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_Toc24949 </w:instrText>
      </w:r>
      <w:r>
        <w:rPr>
          <w:rFonts w:hint="eastAsia" w:ascii="宋体" w:hAnsi="宋体" w:eastAsia="宋体" w:cs="宋体"/>
          <w:sz w:val="21"/>
          <w:szCs w:val="21"/>
        </w:rPr>
        <w:fldChar w:fldCharType="separate"/>
      </w:r>
      <w:r>
        <w:rPr>
          <w:rFonts w:hint="eastAsia" w:ascii="宋体" w:hAnsi="宋体" w:eastAsia="宋体" w:cs="宋体"/>
          <w:sz w:val="21"/>
          <w:szCs w:val="21"/>
        </w:rPr>
        <w:t>２０</w:t>
      </w:r>
      <w:r>
        <w:rPr>
          <w:rFonts w:hint="eastAsia" w:ascii="宋体" w:hAnsi="宋体" w:eastAsia="宋体" w:cs="宋体"/>
          <w:sz w:val="21"/>
          <w:szCs w:val="21"/>
        </w:rPr>
        <w:fldChar w:fldCharType="end"/>
      </w:r>
      <w:r>
        <w:rPr>
          <w:rFonts w:hint="eastAsia" w:ascii="宋体" w:hAnsi="宋体" w:eastAsia="宋体" w:cs="宋体"/>
          <w:i w:val="0"/>
          <w:caps w:val="0"/>
          <w:smallCaps w:val="0"/>
          <w:sz w:val="21"/>
          <w:szCs w:val="21"/>
          <w:highlight w:val="none"/>
          <w:lang w:eastAsia="zh-CN"/>
        </w:rPr>
        <w:fldChar w:fldCharType="end"/>
      </w:r>
    </w:p>
    <w:p>
      <w:pPr>
        <w:pStyle w:val="18"/>
        <w:keepNext w:val="0"/>
        <w:keepLines w:val="0"/>
        <w:pageBreakBefore w:val="0"/>
        <w:widowControl/>
        <w:tabs>
          <w:tab w:val="right" w:leader="dot" w:pos="9073"/>
        </w:tabs>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i w:val="0"/>
          <w:caps w:val="0"/>
          <w:smallCaps w:val="0"/>
          <w:sz w:val="21"/>
          <w:szCs w:val="21"/>
          <w:highlight w:val="none"/>
          <w:lang w:eastAsia="zh-CN"/>
        </w:rPr>
        <w:fldChar w:fldCharType="begin"/>
      </w:r>
      <w:r>
        <w:rPr>
          <w:rFonts w:hint="eastAsia" w:ascii="宋体" w:hAnsi="宋体" w:eastAsia="宋体" w:cs="宋体"/>
          <w:i w:val="0"/>
          <w:caps w:val="0"/>
          <w:smallCaps w:val="0"/>
          <w:sz w:val="21"/>
          <w:szCs w:val="21"/>
          <w:highlight w:val="none"/>
          <w:lang w:eastAsia="zh-CN"/>
        </w:rPr>
        <w:instrText xml:space="preserve"> HYPERLINK \l _Toc6149 </w:instrText>
      </w:r>
      <w:r>
        <w:rPr>
          <w:rFonts w:hint="eastAsia" w:ascii="宋体" w:hAnsi="宋体" w:eastAsia="宋体" w:cs="宋体"/>
          <w:i w:val="0"/>
          <w:caps w:val="0"/>
          <w:smallCaps w:val="0"/>
          <w:sz w:val="21"/>
          <w:szCs w:val="21"/>
          <w:highlight w:val="none"/>
          <w:lang w:eastAsia="zh-CN"/>
        </w:rPr>
        <w:fldChar w:fldCharType="separate"/>
      </w:r>
      <w:r>
        <w:rPr>
          <w:rFonts w:hint="eastAsia" w:ascii="宋体" w:hAnsi="宋体" w:eastAsia="宋体" w:cs="宋体"/>
          <w:bCs w:val="0"/>
          <w:sz w:val="21"/>
          <w:szCs w:val="21"/>
          <w:highlight w:val="none"/>
          <w:lang w:val="en-US" w:eastAsia="zh-CN"/>
        </w:rPr>
        <w:t>（五）评标</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_Toc6149 </w:instrText>
      </w:r>
      <w:r>
        <w:rPr>
          <w:rFonts w:hint="eastAsia" w:ascii="宋体" w:hAnsi="宋体" w:eastAsia="宋体" w:cs="宋体"/>
          <w:sz w:val="21"/>
          <w:szCs w:val="21"/>
        </w:rPr>
        <w:fldChar w:fldCharType="separate"/>
      </w:r>
      <w:r>
        <w:rPr>
          <w:rFonts w:hint="eastAsia" w:ascii="宋体" w:hAnsi="宋体" w:eastAsia="宋体" w:cs="宋体"/>
          <w:sz w:val="21"/>
          <w:szCs w:val="21"/>
        </w:rPr>
        <w:t>２１</w:t>
      </w:r>
      <w:r>
        <w:rPr>
          <w:rFonts w:hint="eastAsia" w:ascii="宋体" w:hAnsi="宋体" w:eastAsia="宋体" w:cs="宋体"/>
          <w:sz w:val="21"/>
          <w:szCs w:val="21"/>
        </w:rPr>
        <w:fldChar w:fldCharType="end"/>
      </w:r>
      <w:r>
        <w:rPr>
          <w:rFonts w:hint="eastAsia" w:ascii="宋体" w:hAnsi="宋体" w:eastAsia="宋体" w:cs="宋体"/>
          <w:i w:val="0"/>
          <w:caps w:val="0"/>
          <w:smallCaps w:val="0"/>
          <w:sz w:val="21"/>
          <w:szCs w:val="21"/>
          <w:highlight w:val="none"/>
          <w:lang w:eastAsia="zh-CN"/>
        </w:rPr>
        <w:fldChar w:fldCharType="end"/>
      </w:r>
    </w:p>
    <w:p>
      <w:pPr>
        <w:pStyle w:val="18"/>
        <w:keepNext w:val="0"/>
        <w:keepLines w:val="0"/>
        <w:pageBreakBefore w:val="0"/>
        <w:widowControl/>
        <w:tabs>
          <w:tab w:val="right" w:leader="dot" w:pos="9073"/>
        </w:tabs>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i w:val="0"/>
          <w:caps w:val="0"/>
          <w:smallCaps w:val="0"/>
          <w:sz w:val="21"/>
          <w:szCs w:val="21"/>
          <w:highlight w:val="none"/>
          <w:lang w:eastAsia="zh-CN"/>
        </w:rPr>
        <w:fldChar w:fldCharType="begin"/>
      </w:r>
      <w:r>
        <w:rPr>
          <w:rFonts w:hint="eastAsia" w:ascii="宋体" w:hAnsi="宋体" w:eastAsia="宋体" w:cs="宋体"/>
          <w:i w:val="0"/>
          <w:caps w:val="0"/>
          <w:smallCaps w:val="0"/>
          <w:sz w:val="21"/>
          <w:szCs w:val="21"/>
          <w:highlight w:val="none"/>
          <w:lang w:eastAsia="zh-CN"/>
        </w:rPr>
        <w:instrText xml:space="preserve"> HYPERLINK \l _Toc17365 </w:instrText>
      </w:r>
      <w:r>
        <w:rPr>
          <w:rFonts w:hint="eastAsia" w:ascii="宋体" w:hAnsi="宋体" w:eastAsia="宋体" w:cs="宋体"/>
          <w:i w:val="0"/>
          <w:caps w:val="0"/>
          <w:smallCaps w:val="0"/>
          <w:sz w:val="21"/>
          <w:szCs w:val="21"/>
          <w:highlight w:val="none"/>
          <w:lang w:eastAsia="zh-CN"/>
        </w:rPr>
        <w:fldChar w:fldCharType="separate"/>
      </w:r>
      <w:r>
        <w:rPr>
          <w:rFonts w:hint="eastAsia" w:ascii="宋体" w:hAnsi="宋体" w:eastAsia="宋体" w:cs="宋体"/>
          <w:bCs w:val="0"/>
          <w:sz w:val="21"/>
          <w:szCs w:val="21"/>
          <w:highlight w:val="none"/>
          <w:lang w:val="en-US" w:eastAsia="zh-CN"/>
        </w:rPr>
        <w:t>（六）定标</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_Toc17365 </w:instrText>
      </w:r>
      <w:r>
        <w:rPr>
          <w:rFonts w:hint="eastAsia" w:ascii="宋体" w:hAnsi="宋体" w:eastAsia="宋体" w:cs="宋体"/>
          <w:sz w:val="21"/>
          <w:szCs w:val="21"/>
        </w:rPr>
        <w:fldChar w:fldCharType="separate"/>
      </w:r>
      <w:r>
        <w:rPr>
          <w:rFonts w:hint="eastAsia" w:ascii="宋体" w:hAnsi="宋体" w:eastAsia="宋体" w:cs="宋体"/>
          <w:sz w:val="21"/>
          <w:szCs w:val="21"/>
        </w:rPr>
        <w:t>２５</w:t>
      </w:r>
      <w:r>
        <w:rPr>
          <w:rFonts w:hint="eastAsia" w:ascii="宋体" w:hAnsi="宋体" w:eastAsia="宋体" w:cs="宋体"/>
          <w:sz w:val="21"/>
          <w:szCs w:val="21"/>
        </w:rPr>
        <w:fldChar w:fldCharType="end"/>
      </w:r>
      <w:r>
        <w:rPr>
          <w:rFonts w:hint="eastAsia" w:ascii="宋体" w:hAnsi="宋体" w:eastAsia="宋体" w:cs="宋体"/>
          <w:i w:val="0"/>
          <w:caps w:val="0"/>
          <w:smallCaps w:val="0"/>
          <w:sz w:val="21"/>
          <w:szCs w:val="21"/>
          <w:highlight w:val="none"/>
          <w:lang w:eastAsia="zh-CN"/>
        </w:rPr>
        <w:fldChar w:fldCharType="end"/>
      </w:r>
    </w:p>
    <w:p>
      <w:pPr>
        <w:pStyle w:val="18"/>
        <w:keepNext w:val="0"/>
        <w:keepLines w:val="0"/>
        <w:pageBreakBefore w:val="0"/>
        <w:widowControl/>
        <w:tabs>
          <w:tab w:val="right" w:leader="dot" w:pos="9073"/>
        </w:tabs>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i w:val="0"/>
          <w:caps w:val="0"/>
          <w:smallCaps w:val="0"/>
          <w:sz w:val="21"/>
          <w:szCs w:val="21"/>
          <w:highlight w:val="none"/>
          <w:lang w:eastAsia="zh-CN"/>
        </w:rPr>
        <w:fldChar w:fldCharType="begin"/>
      </w:r>
      <w:r>
        <w:rPr>
          <w:rFonts w:hint="eastAsia" w:ascii="宋体" w:hAnsi="宋体" w:eastAsia="宋体" w:cs="宋体"/>
          <w:i w:val="0"/>
          <w:caps w:val="0"/>
          <w:smallCaps w:val="0"/>
          <w:sz w:val="21"/>
          <w:szCs w:val="21"/>
          <w:highlight w:val="none"/>
          <w:lang w:eastAsia="zh-CN"/>
        </w:rPr>
        <w:instrText xml:space="preserve"> HYPERLINK \l _Toc29655 </w:instrText>
      </w:r>
      <w:r>
        <w:rPr>
          <w:rFonts w:hint="eastAsia" w:ascii="宋体" w:hAnsi="宋体" w:eastAsia="宋体" w:cs="宋体"/>
          <w:i w:val="0"/>
          <w:caps w:val="0"/>
          <w:smallCaps w:val="0"/>
          <w:sz w:val="21"/>
          <w:szCs w:val="21"/>
          <w:highlight w:val="none"/>
          <w:lang w:eastAsia="zh-CN"/>
        </w:rPr>
        <w:fldChar w:fldCharType="separate"/>
      </w:r>
      <w:r>
        <w:rPr>
          <w:rFonts w:hint="eastAsia" w:ascii="宋体" w:hAnsi="宋体" w:eastAsia="宋体" w:cs="宋体"/>
          <w:bCs w:val="0"/>
          <w:sz w:val="21"/>
          <w:szCs w:val="21"/>
          <w:highlight w:val="none"/>
          <w:lang w:val="en-US" w:eastAsia="zh-CN"/>
        </w:rPr>
        <w:t>（七）中标通知书</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_Toc29655 </w:instrText>
      </w:r>
      <w:r>
        <w:rPr>
          <w:rFonts w:hint="eastAsia" w:ascii="宋体" w:hAnsi="宋体" w:eastAsia="宋体" w:cs="宋体"/>
          <w:sz w:val="21"/>
          <w:szCs w:val="21"/>
        </w:rPr>
        <w:fldChar w:fldCharType="separate"/>
      </w:r>
      <w:r>
        <w:rPr>
          <w:rFonts w:hint="eastAsia" w:ascii="宋体" w:hAnsi="宋体" w:eastAsia="宋体" w:cs="宋体"/>
          <w:sz w:val="21"/>
          <w:szCs w:val="21"/>
        </w:rPr>
        <w:t>２８</w:t>
      </w:r>
      <w:r>
        <w:rPr>
          <w:rFonts w:hint="eastAsia" w:ascii="宋体" w:hAnsi="宋体" w:eastAsia="宋体" w:cs="宋体"/>
          <w:sz w:val="21"/>
          <w:szCs w:val="21"/>
        </w:rPr>
        <w:fldChar w:fldCharType="end"/>
      </w:r>
      <w:r>
        <w:rPr>
          <w:rFonts w:hint="eastAsia" w:ascii="宋体" w:hAnsi="宋体" w:eastAsia="宋体" w:cs="宋体"/>
          <w:i w:val="0"/>
          <w:caps w:val="0"/>
          <w:smallCaps w:val="0"/>
          <w:sz w:val="21"/>
          <w:szCs w:val="21"/>
          <w:highlight w:val="none"/>
          <w:lang w:eastAsia="zh-CN"/>
        </w:rPr>
        <w:fldChar w:fldCharType="end"/>
      </w:r>
    </w:p>
    <w:p>
      <w:pPr>
        <w:pStyle w:val="18"/>
        <w:keepNext w:val="0"/>
        <w:keepLines w:val="0"/>
        <w:pageBreakBefore w:val="0"/>
        <w:widowControl/>
        <w:tabs>
          <w:tab w:val="right" w:leader="dot" w:pos="9073"/>
        </w:tabs>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i w:val="0"/>
          <w:caps w:val="0"/>
          <w:smallCaps w:val="0"/>
          <w:sz w:val="21"/>
          <w:szCs w:val="21"/>
          <w:highlight w:val="none"/>
          <w:lang w:eastAsia="zh-CN"/>
        </w:rPr>
        <w:fldChar w:fldCharType="begin"/>
      </w:r>
      <w:r>
        <w:rPr>
          <w:rFonts w:hint="eastAsia" w:ascii="宋体" w:hAnsi="宋体" w:eastAsia="宋体" w:cs="宋体"/>
          <w:i w:val="0"/>
          <w:caps w:val="0"/>
          <w:smallCaps w:val="0"/>
          <w:sz w:val="21"/>
          <w:szCs w:val="21"/>
          <w:highlight w:val="none"/>
          <w:lang w:eastAsia="zh-CN"/>
        </w:rPr>
        <w:instrText xml:space="preserve"> HYPERLINK \l _Toc9135 </w:instrText>
      </w:r>
      <w:r>
        <w:rPr>
          <w:rFonts w:hint="eastAsia" w:ascii="宋体" w:hAnsi="宋体" w:eastAsia="宋体" w:cs="宋体"/>
          <w:i w:val="0"/>
          <w:caps w:val="0"/>
          <w:smallCaps w:val="0"/>
          <w:sz w:val="21"/>
          <w:szCs w:val="21"/>
          <w:highlight w:val="none"/>
          <w:lang w:eastAsia="zh-CN"/>
        </w:rPr>
        <w:fldChar w:fldCharType="separate"/>
      </w:r>
      <w:r>
        <w:rPr>
          <w:rFonts w:hint="eastAsia" w:ascii="宋体" w:hAnsi="宋体" w:eastAsia="宋体" w:cs="宋体"/>
          <w:bCs w:val="0"/>
          <w:sz w:val="21"/>
          <w:szCs w:val="21"/>
          <w:highlight w:val="none"/>
          <w:lang w:val="en-US" w:eastAsia="zh-CN"/>
        </w:rPr>
        <w:t>（八）合同的授予</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_Toc9135 </w:instrText>
      </w:r>
      <w:r>
        <w:rPr>
          <w:rFonts w:hint="eastAsia" w:ascii="宋体" w:hAnsi="宋体" w:eastAsia="宋体" w:cs="宋体"/>
          <w:sz w:val="21"/>
          <w:szCs w:val="21"/>
        </w:rPr>
        <w:fldChar w:fldCharType="separate"/>
      </w:r>
      <w:r>
        <w:rPr>
          <w:rFonts w:hint="eastAsia" w:ascii="宋体" w:hAnsi="宋体" w:eastAsia="宋体" w:cs="宋体"/>
          <w:sz w:val="21"/>
          <w:szCs w:val="21"/>
        </w:rPr>
        <w:t>２８</w:t>
      </w:r>
      <w:r>
        <w:rPr>
          <w:rFonts w:hint="eastAsia" w:ascii="宋体" w:hAnsi="宋体" w:eastAsia="宋体" w:cs="宋体"/>
          <w:sz w:val="21"/>
          <w:szCs w:val="21"/>
        </w:rPr>
        <w:fldChar w:fldCharType="end"/>
      </w:r>
      <w:r>
        <w:rPr>
          <w:rFonts w:hint="eastAsia" w:ascii="宋体" w:hAnsi="宋体" w:eastAsia="宋体" w:cs="宋体"/>
          <w:i w:val="0"/>
          <w:caps w:val="0"/>
          <w:smallCaps w:val="0"/>
          <w:sz w:val="21"/>
          <w:szCs w:val="21"/>
          <w:highlight w:val="none"/>
          <w:lang w:eastAsia="zh-CN"/>
        </w:rPr>
        <w:fldChar w:fldCharType="end"/>
      </w:r>
    </w:p>
    <w:p>
      <w:pPr>
        <w:pStyle w:val="26"/>
        <w:keepNext w:val="0"/>
        <w:keepLines w:val="0"/>
        <w:pageBreakBefore w:val="0"/>
        <w:widowControl/>
        <w:tabs>
          <w:tab w:val="right" w:leader="dot" w:pos="9073"/>
        </w:tabs>
        <w:kinsoku/>
        <w:wordWrap/>
        <w:overflowPunct/>
        <w:topLinePunct w:val="0"/>
        <w:autoSpaceDE/>
        <w:autoSpaceDN/>
        <w:bidi w:val="0"/>
        <w:adjustRightInd/>
        <w:snapToGrid/>
        <w:spacing w:before="0" w:after="0"/>
        <w:textAlignment w:val="auto"/>
        <w:rPr>
          <w:rFonts w:hint="eastAsia" w:ascii="宋体" w:hAnsi="宋体" w:eastAsia="宋体" w:cs="宋体"/>
          <w:sz w:val="21"/>
          <w:szCs w:val="21"/>
        </w:rPr>
      </w:pPr>
      <w:r>
        <w:rPr>
          <w:rFonts w:hint="eastAsia" w:ascii="宋体" w:hAnsi="宋体" w:eastAsia="宋体" w:cs="宋体"/>
          <w:i w:val="0"/>
          <w:caps w:val="0"/>
          <w:smallCaps w:val="0"/>
          <w:sz w:val="21"/>
          <w:szCs w:val="21"/>
          <w:highlight w:val="none"/>
          <w:lang w:eastAsia="zh-CN"/>
        </w:rPr>
        <w:fldChar w:fldCharType="begin"/>
      </w:r>
      <w:r>
        <w:rPr>
          <w:rFonts w:hint="eastAsia" w:ascii="宋体" w:hAnsi="宋体" w:eastAsia="宋体" w:cs="宋体"/>
          <w:i w:val="0"/>
          <w:caps w:val="0"/>
          <w:smallCaps w:val="0"/>
          <w:sz w:val="21"/>
          <w:szCs w:val="21"/>
          <w:highlight w:val="none"/>
          <w:lang w:eastAsia="zh-CN"/>
        </w:rPr>
        <w:instrText xml:space="preserve"> HYPERLINK \l _Toc1533 </w:instrText>
      </w:r>
      <w:r>
        <w:rPr>
          <w:rFonts w:hint="eastAsia" w:ascii="宋体" w:hAnsi="宋体" w:eastAsia="宋体" w:cs="宋体"/>
          <w:i w:val="0"/>
          <w:caps w:val="0"/>
          <w:smallCaps w:val="0"/>
          <w:sz w:val="21"/>
          <w:szCs w:val="21"/>
          <w:highlight w:val="none"/>
          <w:lang w:eastAsia="zh-CN"/>
        </w:rPr>
        <w:fldChar w:fldCharType="separate"/>
      </w:r>
      <w:r>
        <w:rPr>
          <w:rFonts w:hint="eastAsia" w:ascii="宋体" w:hAnsi="宋体" w:eastAsia="宋体" w:cs="宋体"/>
          <w:bCs/>
          <w:sz w:val="21"/>
          <w:szCs w:val="21"/>
          <w:highlight w:val="none"/>
        </w:rPr>
        <w:t>第三章  招标人对招标文件及合同范本的补充/修改</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_Toc1533 </w:instrText>
      </w:r>
      <w:r>
        <w:rPr>
          <w:rFonts w:hint="eastAsia" w:ascii="宋体" w:hAnsi="宋体" w:eastAsia="宋体" w:cs="宋体"/>
          <w:sz w:val="21"/>
          <w:szCs w:val="21"/>
        </w:rPr>
        <w:fldChar w:fldCharType="separate"/>
      </w:r>
      <w:r>
        <w:rPr>
          <w:rFonts w:hint="eastAsia" w:ascii="宋体" w:hAnsi="宋体" w:eastAsia="宋体" w:cs="宋体"/>
          <w:sz w:val="21"/>
          <w:szCs w:val="21"/>
        </w:rPr>
        <w:t>３０</w:t>
      </w:r>
      <w:r>
        <w:rPr>
          <w:rFonts w:hint="eastAsia" w:ascii="宋体" w:hAnsi="宋体" w:eastAsia="宋体" w:cs="宋体"/>
          <w:sz w:val="21"/>
          <w:szCs w:val="21"/>
        </w:rPr>
        <w:fldChar w:fldCharType="end"/>
      </w:r>
      <w:r>
        <w:rPr>
          <w:rFonts w:hint="eastAsia" w:ascii="宋体" w:hAnsi="宋体" w:eastAsia="宋体" w:cs="宋体"/>
          <w:i w:val="0"/>
          <w:caps w:val="0"/>
          <w:smallCaps w:val="0"/>
          <w:sz w:val="21"/>
          <w:szCs w:val="21"/>
          <w:highlight w:val="none"/>
          <w:lang w:eastAsia="zh-CN"/>
        </w:rPr>
        <w:fldChar w:fldCharType="end"/>
      </w:r>
    </w:p>
    <w:p>
      <w:pPr>
        <w:pStyle w:val="26"/>
        <w:keepNext w:val="0"/>
        <w:keepLines w:val="0"/>
        <w:pageBreakBefore w:val="0"/>
        <w:widowControl/>
        <w:tabs>
          <w:tab w:val="right" w:leader="dot" w:pos="9073"/>
        </w:tabs>
        <w:kinsoku/>
        <w:wordWrap/>
        <w:overflowPunct/>
        <w:topLinePunct w:val="0"/>
        <w:autoSpaceDE/>
        <w:autoSpaceDN/>
        <w:bidi w:val="0"/>
        <w:adjustRightInd/>
        <w:snapToGrid/>
        <w:spacing w:before="0" w:after="0"/>
        <w:textAlignment w:val="auto"/>
        <w:rPr>
          <w:rFonts w:hint="eastAsia" w:ascii="宋体" w:hAnsi="宋体" w:eastAsia="宋体" w:cs="宋体"/>
          <w:sz w:val="21"/>
          <w:szCs w:val="21"/>
        </w:rPr>
      </w:pPr>
      <w:r>
        <w:rPr>
          <w:rFonts w:hint="eastAsia" w:ascii="宋体" w:hAnsi="宋体" w:eastAsia="宋体" w:cs="宋体"/>
          <w:i w:val="0"/>
          <w:caps w:val="0"/>
          <w:smallCaps w:val="0"/>
          <w:sz w:val="21"/>
          <w:szCs w:val="21"/>
          <w:highlight w:val="none"/>
          <w:lang w:eastAsia="zh-CN"/>
        </w:rPr>
        <w:fldChar w:fldCharType="begin"/>
      </w:r>
      <w:r>
        <w:rPr>
          <w:rFonts w:hint="eastAsia" w:ascii="宋体" w:hAnsi="宋体" w:eastAsia="宋体" w:cs="宋体"/>
          <w:i w:val="0"/>
          <w:caps w:val="0"/>
          <w:smallCaps w:val="0"/>
          <w:sz w:val="21"/>
          <w:szCs w:val="21"/>
          <w:highlight w:val="none"/>
          <w:lang w:eastAsia="zh-CN"/>
        </w:rPr>
        <w:instrText xml:space="preserve"> HYPERLINK \l _Toc13629 </w:instrText>
      </w:r>
      <w:r>
        <w:rPr>
          <w:rFonts w:hint="eastAsia" w:ascii="宋体" w:hAnsi="宋体" w:eastAsia="宋体" w:cs="宋体"/>
          <w:i w:val="0"/>
          <w:caps w:val="0"/>
          <w:smallCaps w:val="0"/>
          <w:sz w:val="21"/>
          <w:szCs w:val="21"/>
          <w:highlight w:val="none"/>
          <w:lang w:eastAsia="zh-CN"/>
        </w:rPr>
        <w:fldChar w:fldCharType="separate"/>
      </w:r>
      <w:r>
        <w:rPr>
          <w:rFonts w:hint="eastAsia" w:ascii="宋体" w:hAnsi="宋体" w:eastAsia="宋体" w:cs="宋体"/>
          <w:bCs/>
          <w:sz w:val="21"/>
          <w:szCs w:val="21"/>
          <w:highlight w:val="none"/>
        </w:rPr>
        <w:t>第四章  合同条款</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_Toc13629 </w:instrText>
      </w:r>
      <w:r>
        <w:rPr>
          <w:rFonts w:hint="eastAsia" w:ascii="宋体" w:hAnsi="宋体" w:eastAsia="宋体" w:cs="宋体"/>
          <w:sz w:val="21"/>
          <w:szCs w:val="21"/>
        </w:rPr>
        <w:fldChar w:fldCharType="separate"/>
      </w:r>
      <w:r>
        <w:rPr>
          <w:rFonts w:hint="eastAsia" w:ascii="宋体" w:hAnsi="宋体" w:eastAsia="宋体" w:cs="宋体"/>
          <w:sz w:val="21"/>
          <w:szCs w:val="21"/>
        </w:rPr>
        <w:t>３１</w:t>
      </w:r>
      <w:r>
        <w:rPr>
          <w:rFonts w:hint="eastAsia" w:ascii="宋体" w:hAnsi="宋体" w:eastAsia="宋体" w:cs="宋体"/>
          <w:sz w:val="21"/>
          <w:szCs w:val="21"/>
        </w:rPr>
        <w:fldChar w:fldCharType="end"/>
      </w:r>
      <w:r>
        <w:rPr>
          <w:rFonts w:hint="eastAsia" w:ascii="宋体" w:hAnsi="宋体" w:eastAsia="宋体" w:cs="宋体"/>
          <w:i w:val="0"/>
          <w:caps w:val="0"/>
          <w:smallCaps w:val="0"/>
          <w:sz w:val="21"/>
          <w:szCs w:val="21"/>
          <w:highlight w:val="none"/>
          <w:lang w:eastAsia="zh-CN"/>
        </w:rPr>
        <w:fldChar w:fldCharType="end"/>
      </w:r>
    </w:p>
    <w:p>
      <w:pPr>
        <w:pStyle w:val="26"/>
        <w:keepNext w:val="0"/>
        <w:keepLines w:val="0"/>
        <w:pageBreakBefore w:val="0"/>
        <w:widowControl/>
        <w:tabs>
          <w:tab w:val="right" w:leader="dot" w:pos="9073"/>
        </w:tabs>
        <w:kinsoku/>
        <w:wordWrap/>
        <w:overflowPunct/>
        <w:topLinePunct w:val="0"/>
        <w:autoSpaceDE/>
        <w:autoSpaceDN/>
        <w:bidi w:val="0"/>
        <w:adjustRightInd/>
        <w:snapToGrid/>
        <w:spacing w:before="0" w:after="0"/>
        <w:textAlignment w:val="auto"/>
        <w:rPr>
          <w:rFonts w:hint="eastAsia" w:ascii="宋体" w:hAnsi="宋体" w:eastAsia="宋体" w:cs="宋体"/>
          <w:sz w:val="21"/>
          <w:szCs w:val="21"/>
        </w:rPr>
      </w:pPr>
      <w:r>
        <w:rPr>
          <w:rFonts w:hint="eastAsia" w:ascii="宋体" w:hAnsi="宋体" w:eastAsia="宋体" w:cs="宋体"/>
          <w:i w:val="0"/>
          <w:caps w:val="0"/>
          <w:smallCaps w:val="0"/>
          <w:sz w:val="21"/>
          <w:szCs w:val="21"/>
          <w:highlight w:val="none"/>
          <w:lang w:eastAsia="zh-CN"/>
        </w:rPr>
        <w:fldChar w:fldCharType="begin"/>
      </w:r>
      <w:r>
        <w:rPr>
          <w:rFonts w:hint="eastAsia" w:ascii="宋体" w:hAnsi="宋体" w:eastAsia="宋体" w:cs="宋体"/>
          <w:i w:val="0"/>
          <w:caps w:val="0"/>
          <w:smallCaps w:val="0"/>
          <w:sz w:val="21"/>
          <w:szCs w:val="21"/>
          <w:highlight w:val="none"/>
          <w:lang w:eastAsia="zh-CN"/>
        </w:rPr>
        <w:instrText xml:space="preserve"> HYPERLINK \l _Toc13754 </w:instrText>
      </w:r>
      <w:r>
        <w:rPr>
          <w:rFonts w:hint="eastAsia" w:ascii="宋体" w:hAnsi="宋体" w:eastAsia="宋体" w:cs="宋体"/>
          <w:i w:val="0"/>
          <w:caps w:val="0"/>
          <w:smallCaps w:val="0"/>
          <w:sz w:val="21"/>
          <w:szCs w:val="21"/>
          <w:highlight w:val="none"/>
          <w:lang w:eastAsia="zh-CN"/>
        </w:rPr>
        <w:fldChar w:fldCharType="separate"/>
      </w:r>
      <w:r>
        <w:rPr>
          <w:rFonts w:hint="eastAsia" w:ascii="宋体" w:hAnsi="宋体" w:eastAsia="宋体" w:cs="宋体"/>
          <w:sz w:val="21"/>
          <w:szCs w:val="21"/>
        </w:rPr>
        <w:t>第一部分 协议书</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_Toc13754 </w:instrText>
      </w:r>
      <w:r>
        <w:rPr>
          <w:rFonts w:hint="eastAsia" w:ascii="宋体" w:hAnsi="宋体" w:eastAsia="宋体" w:cs="宋体"/>
          <w:sz w:val="21"/>
          <w:szCs w:val="21"/>
        </w:rPr>
        <w:fldChar w:fldCharType="separate"/>
      </w:r>
      <w:r>
        <w:rPr>
          <w:rFonts w:hint="eastAsia" w:ascii="宋体" w:hAnsi="宋体" w:eastAsia="宋体" w:cs="宋体"/>
          <w:sz w:val="21"/>
          <w:szCs w:val="21"/>
        </w:rPr>
        <w:t>３５</w:t>
      </w:r>
      <w:r>
        <w:rPr>
          <w:rFonts w:hint="eastAsia" w:ascii="宋体" w:hAnsi="宋体" w:eastAsia="宋体" w:cs="宋体"/>
          <w:sz w:val="21"/>
          <w:szCs w:val="21"/>
        </w:rPr>
        <w:fldChar w:fldCharType="end"/>
      </w:r>
      <w:r>
        <w:rPr>
          <w:rFonts w:hint="eastAsia" w:ascii="宋体" w:hAnsi="宋体" w:eastAsia="宋体" w:cs="宋体"/>
          <w:i w:val="0"/>
          <w:caps w:val="0"/>
          <w:smallCaps w:val="0"/>
          <w:sz w:val="21"/>
          <w:szCs w:val="21"/>
          <w:highlight w:val="none"/>
          <w:lang w:eastAsia="zh-CN"/>
        </w:rPr>
        <w:fldChar w:fldCharType="end"/>
      </w:r>
    </w:p>
    <w:p>
      <w:pPr>
        <w:pStyle w:val="26"/>
        <w:keepNext w:val="0"/>
        <w:keepLines w:val="0"/>
        <w:pageBreakBefore w:val="0"/>
        <w:widowControl/>
        <w:tabs>
          <w:tab w:val="right" w:leader="dot" w:pos="9073"/>
        </w:tabs>
        <w:kinsoku/>
        <w:wordWrap/>
        <w:overflowPunct/>
        <w:topLinePunct w:val="0"/>
        <w:autoSpaceDE/>
        <w:autoSpaceDN/>
        <w:bidi w:val="0"/>
        <w:adjustRightInd/>
        <w:snapToGrid/>
        <w:spacing w:before="0" w:after="0"/>
        <w:textAlignment w:val="auto"/>
        <w:rPr>
          <w:rFonts w:hint="eastAsia" w:ascii="宋体" w:hAnsi="宋体" w:eastAsia="宋体" w:cs="宋体"/>
          <w:sz w:val="21"/>
          <w:szCs w:val="21"/>
        </w:rPr>
      </w:pPr>
      <w:r>
        <w:rPr>
          <w:rFonts w:hint="eastAsia" w:ascii="宋体" w:hAnsi="宋体" w:eastAsia="宋体" w:cs="宋体"/>
          <w:i w:val="0"/>
          <w:caps w:val="0"/>
          <w:smallCaps w:val="0"/>
          <w:sz w:val="21"/>
          <w:szCs w:val="21"/>
          <w:highlight w:val="none"/>
          <w:lang w:eastAsia="zh-CN"/>
        </w:rPr>
        <w:fldChar w:fldCharType="begin"/>
      </w:r>
      <w:r>
        <w:rPr>
          <w:rFonts w:hint="eastAsia" w:ascii="宋体" w:hAnsi="宋体" w:eastAsia="宋体" w:cs="宋体"/>
          <w:i w:val="0"/>
          <w:caps w:val="0"/>
          <w:smallCaps w:val="0"/>
          <w:sz w:val="21"/>
          <w:szCs w:val="21"/>
          <w:highlight w:val="none"/>
          <w:lang w:eastAsia="zh-CN"/>
        </w:rPr>
        <w:instrText xml:space="preserve"> HYPERLINK \l _Toc12236 </w:instrText>
      </w:r>
      <w:r>
        <w:rPr>
          <w:rFonts w:hint="eastAsia" w:ascii="宋体" w:hAnsi="宋体" w:eastAsia="宋体" w:cs="宋体"/>
          <w:i w:val="0"/>
          <w:caps w:val="0"/>
          <w:smallCaps w:val="0"/>
          <w:sz w:val="21"/>
          <w:szCs w:val="21"/>
          <w:highlight w:val="none"/>
          <w:lang w:eastAsia="zh-CN"/>
        </w:rPr>
        <w:fldChar w:fldCharType="separate"/>
      </w:r>
      <w:r>
        <w:rPr>
          <w:rFonts w:hint="eastAsia" w:ascii="宋体" w:hAnsi="宋体" w:eastAsia="宋体" w:cs="宋体"/>
          <w:sz w:val="21"/>
          <w:szCs w:val="21"/>
        </w:rPr>
        <w:t>第二部分  通用条款</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_Toc12236 </w:instrText>
      </w:r>
      <w:r>
        <w:rPr>
          <w:rFonts w:hint="eastAsia" w:ascii="宋体" w:hAnsi="宋体" w:eastAsia="宋体" w:cs="宋体"/>
          <w:sz w:val="21"/>
          <w:szCs w:val="21"/>
        </w:rPr>
        <w:fldChar w:fldCharType="separate"/>
      </w:r>
      <w:r>
        <w:rPr>
          <w:rFonts w:hint="eastAsia" w:ascii="宋体" w:hAnsi="宋体" w:eastAsia="宋体" w:cs="宋体"/>
          <w:sz w:val="21"/>
          <w:szCs w:val="21"/>
        </w:rPr>
        <w:t>４０</w:t>
      </w:r>
      <w:r>
        <w:rPr>
          <w:rFonts w:hint="eastAsia" w:ascii="宋体" w:hAnsi="宋体" w:eastAsia="宋体" w:cs="宋体"/>
          <w:sz w:val="21"/>
          <w:szCs w:val="21"/>
        </w:rPr>
        <w:fldChar w:fldCharType="end"/>
      </w:r>
      <w:r>
        <w:rPr>
          <w:rFonts w:hint="eastAsia" w:ascii="宋体" w:hAnsi="宋体" w:eastAsia="宋体" w:cs="宋体"/>
          <w:i w:val="0"/>
          <w:caps w:val="0"/>
          <w:smallCaps w:val="0"/>
          <w:sz w:val="21"/>
          <w:szCs w:val="21"/>
          <w:highlight w:val="none"/>
          <w:lang w:eastAsia="zh-CN"/>
        </w:rPr>
        <w:fldChar w:fldCharType="end"/>
      </w:r>
    </w:p>
    <w:p>
      <w:pPr>
        <w:pStyle w:val="26"/>
        <w:keepNext w:val="0"/>
        <w:keepLines w:val="0"/>
        <w:pageBreakBefore w:val="0"/>
        <w:widowControl/>
        <w:tabs>
          <w:tab w:val="right" w:leader="dot" w:pos="9073"/>
        </w:tabs>
        <w:kinsoku/>
        <w:wordWrap/>
        <w:overflowPunct/>
        <w:topLinePunct w:val="0"/>
        <w:autoSpaceDE/>
        <w:autoSpaceDN/>
        <w:bidi w:val="0"/>
        <w:adjustRightInd/>
        <w:snapToGrid/>
        <w:spacing w:before="0" w:after="0"/>
        <w:textAlignment w:val="auto"/>
        <w:rPr>
          <w:rFonts w:hint="eastAsia" w:ascii="宋体" w:hAnsi="宋体" w:eastAsia="宋体" w:cs="宋体"/>
          <w:sz w:val="21"/>
          <w:szCs w:val="21"/>
        </w:rPr>
      </w:pPr>
      <w:r>
        <w:rPr>
          <w:rFonts w:hint="eastAsia" w:ascii="宋体" w:hAnsi="宋体" w:eastAsia="宋体" w:cs="宋体"/>
          <w:i w:val="0"/>
          <w:caps w:val="0"/>
          <w:smallCaps w:val="0"/>
          <w:sz w:val="21"/>
          <w:szCs w:val="21"/>
          <w:highlight w:val="none"/>
          <w:lang w:eastAsia="zh-CN"/>
        </w:rPr>
        <w:fldChar w:fldCharType="begin"/>
      </w:r>
      <w:r>
        <w:rPr>
          <w:rFonts w:hint="eastAsia" w:ascii="宋体" w:hAnsi="宋体" w:eastAsia="宋体" w:cs="宋体"/>
          <w:i w:val="0"/>
          <w:caps w:val="0"/>
          <w:smallCaps w:val="0"/>
          <w:sz w:val="21"/>
          <w:szCs w:val="21"/>
          <w:highlight w:val="none"/>
          <w:lang w:eastAsia="zh-CN"/>
        </w:rPr>
        <w:instrText xml:space="preserve"> HYPERLINK \l _Toc23136 </w:instrText>
      </w:r>
      <w:r>
        <w:rPr>
          <w:rFonts w:hint="eastAsia" w:ascii="宋体" w:hAnsi="宋体" w:eastAsia="宋体" w:cs="宋体"/>
          <w:i w:val="0"/>
          <w:caps w:val="0"/>
          <w:smallCaps w:val="0"/>
          <w:sz w:val="21"/>
          <w:szCs w:val="21"/>
          <w:highlight w:val="none"/>
          <w:lang w:eastAsia="zh-CN"/>
        </w:rPr>
        <w:fldChar w:fldCharType="separate"/>
      </w:r>
      <w:r>
        <w:rPr>
          <w:rFonts w:hint="eastAsia" w:ascii="宋体" w:hAnsi="宋体" w:eastAsia="宋体" w:cs="宋体"/>
          <w:sz w:val="21"/>
          <w:szCs w:val="21"/>
        </w:rPr>
        <w:t>第三部分 专用条款</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_Toc23136 </w:instrText>
      </w:r>
      <w:r>
        <w:rPr>
          <w:rFonts w:hint="eastAsia" w:ascii="宋体" w:hAnsi="宋体" w:eastAsia="宋体" w:cs="宋体"/>
          <w:sz w:val="21"/>
          <w:szCs w:val="21"/>
        </w:rPr>
        <w:fldChar w:fldCharType="separate"/>
      </w:r>
      <w:r>
        <w:rPr>
          <w:rFonts w:hint="eastAsia" w:ascii="宋体" w:hAnsi="宋体" w:eastAsia="宋体" w:cs="宋体"/>
          <w:sz w:val="21"/>
          <w:szCs w:val="21"/>
        </w:rPr>
        <w:t>９４</w:t>
      </w:r>
      <w:r>
        <w:rPr>
          <w:rFonts w:hint="eastAsia" w:ascii="宋体" w:hAnsi="宋体" w:eastAsia="宋体" w:cs="宋体"/>
          <w:sz w:val="21"/>
          <w:szCs w:val="21"/>
        </w:rPr>
        <w:fldChar w:fldCharType="end"/>
      </w:r>
      <w:r>
        <w:rPr>
          <w:rFonts w:hint="eastAsia" w:ascii="宋体" w:hAnsi="宋体" w:eastAsia="宋体" w:cs="宋体"/>
          <w:i w:val="0"/>
          <w:caps w:val="0"/>
          <w:smallCaps w:val="0"/>
          <w:sz w:val="21"/>
          <w:szCs w:val="21"/>
          <w:highlight w:val="none"/>
          <w:lang w:eastAsia="zh-CN"/>
        </w:rPr>
        <w:fldChar w:fldCharType="end"/>
      </w:r>
    </w:p>
    <w:p>
      <w:pPr>
        <w:pStyle w:val="26"/>
        <w:keepNext w:val="0"/>
        <w:keepLines w:val="0"/>
        <w:pageBreakBefore w:val="0"/>
        <w:widowControl/>
        <w:tabs>
          <w:tab w:val="right" w:leader="dot" w:pos="9073"/>
        </w:tabs>
        <w:kinsoku/>
        <w:wordWrap/>
        <w:overflowPunct/>
        <w:topLinePunct w:val="0"/>
        <w:autoSpaceDE/>
        <w:autoSpaceDN/>
        <w:bidi w:val="0"/>
        <w:adjustRightInd/>
        <w:snapToGrid/>
        <w:spacing w:before="0" w:after="0"/>
        <w:textAlignment w:val="auto"/>
        <w:rPr>
          <w:rFonts w:hint="eastAsia" w:ascii="宋体" w:hAnsi="宋体" w:eastAsia="宋体" w:cs="宋体"/>
          <w:sz w:val="21"/>
          <w:szCs w:val="21"/>
        </w:rPr>
      </w:pPr>
      <w:r>
        <w:rPr>
          <w:rFonts w:hint="eastAsia" w:ascii="宋体" w:hAnsi="宋体" w:eastAsia="宋体" w:cs="宋体"/>
          <w:i w:val="0"/>
          <w:caps w:val="0"/>
          <w:smallCaps w:val="0"/>
          <w:sz w:val="21"/>
          <w:szCs w:val="21"/>
          <w:highlight w:val="none"/>
          <w:lang w:eastAsia="zh-CN"/>
        </w:rPr>
        <w:fldChar w:fldCharType="begin"/>
      </w:r>
      <w:r>
        <w:rPr>
          <w:rFonts w:hint="eastAsia" w:ascii="宋体" w:hAnsi="宋体" w:eastAsia="宋体" w:cs="宋体"/>
          <w:i w:val="0"/>
          <w:caps w:val="0"/>
          <w:smallCaps w:val="0"/>
          <w:sz w:val="21"/>
          <w:szCs w:val="21"/>
          <w:highlight w:val="none"/>
          <w:lang w:eastAsia="zh-CN"/>
        </w:rPr>
        <w:instrText xml:space="preserve"> HYPERLINK \l _Toc8480 </w:instrText>
      </w:r>
      <w:r>
        <w:rPr>
          <w:rFonts w:hint="eastAsia" w:ascii="宋体" w:hAnsi="宋体" w:eastAsia="宋体" w:cs="宋体"/>
          <w:i w:val="0"/>
          <w:caps w:val="0"/>
          <w:smallCaps w:val="0"/>
          <w:sz w:val="21"/>
          <w:szCs w:val="21"/>
          <w:highlight w:val="none"/>
          <w:lang w:eastAsia="zh-CN"/>
        </w:rPr>
        <w:fldChar w:fldCharType="separate"/>
      </w:r>
      <w:r>
        <w:rPr>
          <w:rFonts w:hint="eastAsia" w:ascii="宋体" w:hAnsi="宋体" w:eastAsia="宋体" w:cs="宋体"/>
          <w:sz w:val="21"/>
          <w:szCs w:val="21"/>
        </w:rPr>
        <w:t>第四部分 补充条款</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_Toc8480 </w:instrText>
      </w:r>
      <w:r>
        <w:rPr>
          <w:rFonts w:hint="eastAsia" w:ascii="宋体" w:hAnsi="宋体" w:eastAsia="宋体" w:cs="宋体"/>
          <w:sz w:val="21"/>
          <w:szCs w:val="21"/>
        </w:rPr>
        <w:fldChar w:fldCharType="separate"/>
      </w:r>
      <w:r>
        <w:rPr>
          <w:rFonts w:hint="eastAsia" w:ascii="宋体" w:hAnsi="宋体" w:eastAsia="宋体" w:cs="宋体"/>
          <w:sz w:val="21"/>
          <w:szCs w:val="21"/>
        </w:rPr>
        <w:t>１２１</w:t>
      </w:r>
      <w:r>
        <w:rPr>
          <w:rFonts w:hint="eastAsia" w:ascii="宋体" w:hAnsi="宋体" w:eastAsia="宋体" w:cs="宋体"/>
          <w:sz w:val="21"/>
          <w:szCs w:val="21"/>
        </w:rPr>
        <w:fldChar w:fldCharType="end"/>
      </w:r>
      <w:r>
        <w:rPr>
          <w:rFonts w:hint="eastAsia" w:ascii="宋体" w:hAnsi="宋体" w:eastAsia="宋体" w:cs="宋体"/>
          <w:i w:val="0"/>
          <w:caps w:val="0"/>
          <w:smallCaps w:val="0"/>
          <w:sz w:val="21"/>
          <w:szCs w:val="21"/>
          <w:highlight w:val="none"/>
          <w:lang w:eastAsia="zh-CN"/>
        </w:rPr>
        <w:fldChar w:fldCharType="end"/>
      </w:r>
    </w:p>
    <w:p>
      <w:pPr>
        <w:pStyle w:val="26"/>
        <w:keepNext w:val="0"/>
        <w:keepLines w:val="0"/>
        <w:pageBreakBefore w:val="0"/>
        <w:widowControl/>
        <w:tabs>
          <w:tab w:val="right" w:leader="dot" w:pos="9073"/>
        </w:tabs>
        <w:kinsoku/>
        <w:wordWrap/>
        <w:overflowPunct/>
        <w:topLinePunct w:val="0"/>
        <w:autoSpaceDE/>
        <w:autoSpaceDN/>
        <w:bidi w:val="0"/>
        <w:adjustRightInd/>
        <w:snapToGrid/>
        <w:spacing w:before="0" w:after="0"/>
        <w:textAlignment w:val="auto"/>
        <w:rPr>
          <w:rFonts w:hint="eastAsia" w:ascii="宋体" w:hAnsi="宋体" w:eastAsia="宋体" w:cs="宋体"/>
          <w:sz w:val="21"/>
          <w:szCs w:val="21"/>
        </w:rPr>
      </w:pPr>
      <w:r>
        <w:rPr>
          <w:rFonts w:hint="eastAsia" w:ascii="宋体" w:hAnsi="宋体" w:eastAsia="宋体" w:cs="宋体"/>
          <w:i w:val="0"/>
          <w:caps w:val="0"/>
          <w:smallCaps w:val="0"/>
          <w:sz w:val="21"/>
          <w:szCs w:val="21"/>
          <w:highlight w:val="none"/>
          <w:lang w:eastAsia="zh-CN"/>
        </w:rPr>
        <w:fldChar w:fldCharType="begin"/>
      </w:r>
      <w:r>
        <w:rPr>
          <w:rFonts w:hint="eastAsia" w:ascii="宋体" w:hAnsi="宋体" w:eastAsia="宋体" w:cs="宋体"/>
          <w:i w:val="0"/>
          <w:caps w:val="0"/>
          <w:smallCaps w:val="0"/>
          <w:sz w:val="21"/>
          <w:szCs w:val="21"/>
          <w:highlight w:val="none"/>
          <w:lang w:eastAsia="zh-CN"/>
        </w:rPr>
        <w:instrText xml:space="preserve"> HYPERLINK \l _Toc15690 </w:instrText>
      </w:r>
      <w:r>
        <w:rPr>
          <w:rFonts w:hint="eastAsia" w:ascii="宋体" w:hAnsi="宋体" w:eastAsia="宋体" w:cs="宋体"/>
          <w:i w:val="0"/>
          <w:caps w:val="0"/>
          <w:smallCaps w:val="0"/>
          <w:sz w:val="21"/>
          <w:szCs w:val="21"/>
          <w:highlight w:val="none"/>
          <w:lang w:eastAsia="zh-CN"/>
        </w:rPr>
        <w:fldChar w:fldCharType="separate"/>
      </w:r>
      <w:r>
        <w:rPr>
          <w:rFonts w:hint="eastAsia" w:ascii="宋体" w:hAnsi="宋体" w:eastAsia="宋体" w:cs="宋体"/>
          <w:sz w:val="21"/>
          <w:szCs w:val="21"/>
          <w:highlight w:val="none"/>
        </w:rPr>
        <w:t>第五章  合同</w:t>
      </w:r>
      <w:r>
        <w:rPr>
          <w:rFonts w:hint="eastAsia" w:cs="宋体"/>
          <w:sz w:val="21"/>
          <w:szCs w:val="21"/>
          <w:highlight w:val="none"/>
          <w:lang w:val="en-US" w:eastAsia="zh-CN"/>
        </w:rPr>
        <w:t>附件</w:t>
      </w:r>
      <w:r>
        <w:rPr>
          <w:rFonts w:hint="eastAsia" w:ascii="宋体" w:hAnsi="宋体" w:eastAsia="宋体" w:cs="宋体"/>
          <w:sz w:val="21"/>
          <w:szCs w:val="21"/>
          <w:highlight w:val="none"/>
        </w:rPr>
        <w:t>格式</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_Toc15690 </w:instrText>
      </w:r>
      <w:r>
        <w:rPr>
          <w:rFonts w:hint="eastAsia" w:ascii="宋体" w:hAnsi="宋体" w:eastAsia="宋体" w:cs="宋体"/>
          <w:sz w:val="21"/>
          <w:szCs w:val="21"/>
        </w:rPr>
        <w:fldChar w:fldCharType="separate"/>
      </w:r>
      <w:r>
        <w:rPr>
          <w:rFonts w:hint="eastAsia" w:ascii="宋体" w:hAnsi="宋体" w:eastAsia="宋体" w:cs="宋体"/>
          <w:sz w:val="21"/>
          <w:szCs w:val="21"/>
        </w:rPr>
        <w:t>１２２</w:t>
      </w:r>
      <w:r>
        <w:rPr>
          <w:rFonts w:hint="eastAsia" w:ascii="宋体" w:hAnsi="宋体" w:eastAsia="宋体" w:cs="宋体"/>
          <w:sz w:val="21"/>
          <w:szCs w:val="21"/>
        </w:rPr>
        <w:fldChar w:fldCharType="end"/>
      </w:r>
      <w:r>
        <w:rPr>
          <w:rFonts w:hint="eastAsia" w:ascii="宋体" w:hAnsi="宋体" w:eastAsia="宋体" w:cs="宋体"/>
          <w:i w:val="0"/>
          <w:caps w:val="0"/>
          <w:smallCaps w:val="0"/>
          <w:sz w:val="21"/>
          <w:szCs w:val="21"/>
          <w:highlight w:val="none"/>
          <w:lang w:eastAsia="zh-CN"/>
        </w:rPr>
        <w:fldChar w:fldCharType="end"/>
      </w:r>
    </w:p>
    <w:p>
      <w:pPr>
        <w:pStyle w:val="26"/>
        <w:keepNext w:val="0"/>
        <w:keepLines w:val="0"/>
        <w:pageBreakBefore w:val="0"/>
        <w:widowControl/>
        <w:tabs>
          <w:tab w:val="right" w:leader="dot" w:pos="9073"/>
        </w:tabs>
        <w:kinsoku/>
        <w:wordWrap/>
        <w:overflowPunct/>
        <w:topLinePunct w:val="0"/>
        <w:autoSpaceDE/>
        <w:autoSpaceDN/>
        <w:bidi w:val="0"/>
        <w:adjustRightInd/>
        <w:snapToGrid/>
        <w:spacing w:before="0" w:after="0"/>
        <w:textAlignment w:val="auto"/>
        <w:rPr>
          <w:rFonts w:hint="eastAsia" w:ascii="宋体" w:hAnsi="宋体" w:eastAsia="宋体" w:cs="宋体"/>
          <w:sz w:val="21"/>
          <w:szCs w:val="21"/>
        </w:rPr>
      </w:pPr>
      <w:r>
        <w:rPr>
          <w:rFonts w:hint="eastAsia" w:ascii="宋体" w:hAnsi="宋体" w:eastAsia="宋体" w:cs="宋体"/>
          <w:i w:val="0"/>
          <w:caps w:val="0"/>
          <w:smallCaps w:val="0"/>
          <w:sz w:val="21"/>
          <w:szCs w:val="21"/>
          <w:highlight w:val="none"/>
          <w:lang w:eastAsia="zh-CN"/>
        </w:rPr>
        <w:fldChar w:fldCharType="begin"/>
      </w:r>
      <w:r>
        <w:rPr>
          <w:rFonts w:hint="eastAsia" w:ascii="宋体" w:hAnsi="宋体" w:eastAsia="宋体" w:cs="宋体"/>
          <w:i w:val="0"/>
          <w:caps w:val="0"/>
          <w:smallCaps w:val="0"/>
          <w:sz w:val="21"/>
          <w:szCs w:val="21"/>
          <w:highlight w:val="none"/>
          <w:lang w:eastAsia="zh-CN"/>
        </w:rPr>
        <w:instrText xml:space="preserve"> HYPERLINK \l _Toc32256 </w:instrText>
      </w:r>
      <w:r>
        <w:rPr>
          <w:rFonts w:hint="eastAsia" w:ascii="宋体" w:hAnsi="宋体" w:eastAsia="宋体" w:cs="宋体"/>
          <w:i w:val="0"/>
          <w:caps w:val="0"/>
          <w:smallCaps w:val="0"/>
          <w:sz w:val="21"/>
          <w:szCs w:val="21"/>
          <w:highlight w:val="none"/>
          <w:lang w:eastAsia="zh-CN"/>
        </w:rPr>
        <w:fldChar w:fldCharType="separate"/>
      </w:r>
      <w:r>
        <w:rPr>
          <w:rFonts w:hint="eastAsia" w:ascii="宋体" w:hAnsi="宋体" w:eastAsia="宋体" w:cs="宋体"/>
          <w:bCs/>
          <w:sz w:val="21"/>
          <w:szCs w:val="21"/>
          <w:highlight w:val="none"/>
        </w:rPr>
        <w:t>第六章  标准、规范和技术要求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_Toc32256 </w:instrText>
      </w:r>
      <w:r>
        <w:rPr>
          <w:rFonts w:hint="eastAsia" w:ascii="宋体" w:hAnsi="宋体" w:eastAsia="宋体" w:cs="宋体"/>
          <w:sz w:val="21"/>
          <w:szCs w:val="21"/>
        </w:rPr>
        <w:fldChar w:fldCharType="separate"/>
      </w:r>
      <w:r>
        <w:rPr>
          <w:rFonts w:hint="eastAsia" w:ascii="宋体" w:hAnsi="宋体" w:eastAsia="宋体" w:cs="宋体"/>
          <w:sz w:val="21"/>
          <w:szCs w:val="21"/>
        </w:rPr>
        <w:t>１２６</w:t>
      </w:r>
      <w:r>
        <w:rPr>
          <w:rFonts w:hint="eastAsia" w:ascii="宋体" w:hAnsi="宋体" w:eastAsia="宋体" w:cs="宋体"/>
          <w:sz w:val="21"/>
          <w:szCs w:val="21"/>
        </w:rPr>
        <w:fldChar w:fldCharType="end"/>
      </w:r>
      <w:r>
        <w:rPr>
          <w:rFonts w:hint="eastAsia" w:ascii="宋体" w:hAnsi="宋体" w:eastAsia="宋体" w:cs="宋体"/>
          <w:i w:val="0"/>
          <w:caps w:val="0"/>
          <w:smallCaps w:val="0"/>
          <w:sz w:val="21"/>
          <w:szCs w:val="21"/>
          <w:highlight w:val="none"/>
          <w:lang w:eastAsia="zh-CN"/>
        </w:rPr>
        <w:fldChar w:fldCharType="end"/>
      </w:r>
    </w:p>
    <w:p>
      <w:pPr>
        <w:pStyle w:val="31"/>
        <w:keepNext w:val="0"/>
        <w:keepLines w:val="0"/>
        <w:pageBreakBefore w:val="0"/>
        <w:widowControl/>
        <w:tabs>
          <w:tab w:val="right" w:leader="dot" w:pos="9073"/>
        </w:tabs>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i w:val="0"/>
          <w:caps w:val="0"/>
          <w:smallCaps w:val="0"/>
          <w:sz w:val="21"/>
          <w:szCs w:val="21"/>
          <w:highlight w:val="none"/>
          <w:lang w:eastAsia="zh-CN"/>
        </w:rPr>
        <w:fldChar w:fldCharType="begin"/>
      </w:r>
      <w:r>
        <w:rPr>
          <w:rFonts w:hint="eastAsia" w:ascii="宋体" w:hAnsi="宋体" w:eastAsia="宋体" w:cs="宋体"/>
          <w:i w:val="0"/>
          <w:caps w:val="0"/>
          <w:smallCaps w:val="0"/>
          <w:sz w:val="21"/>
          <w:szCs w:val="21"/>
          <w:highlight w:val="none"/>
          <w:lang w:eastAsia="zh-CN"/>
        </w:rPr>
        <w:instrText xml:space="preserve"> HYPERLINK \l _Toc19162 </w:instrText>
      </w:r>
      <w:r>
        <w:rPr>
          <w:rFonts w:hint="eastAsia" w:ascii="宋体" w:hAnsi="宋体" w:eastAsia="宋体" w:cs="宋体"/>
          <w:i w:val="0"/>
          <w:caps w:val="0"/>
          <w:smallCaps w:val="0"/>
          <w:sz w:val="21"/>
          <w:szCs w:val="21"/>
          <w:highlight w:val="none"/>
          <w:lang w:eastAsia="zh-CN"/>
        </w:rPr>
        <w:fldChar w:fldCharType="separate"/>
      </w:r>
      <w:r>
        <w:rPr>
          <w:rFonts w:hint="eastAsia" w:ascii="宋体" w:hAnsi="宋体" w:eastAsia="宋体" w:cs="宋体"/>
          <w:bCs/>
          <w:sz w:val="21"/>
          <w:szCs w:val="21"/>
          <w:highlight w:val="none"/>
        </w:rPr>
        <w:t>一、一般标准和技术规范</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_Toc19162 </w:instrText>
      </w:r>
      <w:r>
        <w:rPr>
          <w:rFonts w:hint="eastAsia" w:ascii="宋体" w:hAnsi="宋体" w:eastAsia="宋体" w:cs="宋体"/>
          <w:sz w:val="21"/>
          <w:szCs w:val="21"/>
        </w:rPr>
        <w:fldChar w:fldCharType="separate"/>
      </w:r>
      <w:r>
        <w:rPr>
          <w:rFonts w:hint="eastAsia" w:ascii="宋体" w:hAnsi="宋体" w:eastAsia="宋体" w:cs="宋体"/>
          <w:sz w:val="21"/>
          <w:szCs w:val="21"/>
        </w:rPr>
        <w:t>１２６</w:t>
      </w:r>
      <w:r>
        <w:rPr>
          <w:rFonts w:hint="eastAsia" w:ascii="宋体" w:hAnsi="宋体" w:eastAsia="宋体" w:cs="宋体"/>
          <w:sz w:val="21"/>
          <w:szCs w:val="21"/>
        </w:rPr>
        <w:fldChar w:fldCharType="end"/>
      </w:r>
      <w:r>
        <w:rPr>
          <w:rFonts w:hint="eastAsia" w:ascii="宋体" w:hAnsi="宋体" w:eastAsia="宋体" w:cs="宋体"/>
          <w:i w:val="0"/>
          <w:caps w:val="0"/>
          <w:smallCaps w:val="0"/>
          <w:sz w:val="21"/>
          <w:szCs w:val="21"/>
          <w:highlight w:val="none"/>
          <w:lang w:eastAsia="zh-CN"/>
        </w:rPr>
        <w:fldChar w:fldCharType="end"/>
      </w:r>
    </w:p>
    <w:p>
      <w:pPr>
        <w:pStyle w:val="31"/>
        <w:keepNext w:val="0"/>
        <w:keepLines w:val="0"/>
        <w:pageBreakBefore w:val="0"/>
        <w:widowControl/>
        <w:tabs>
          <w:tab w:val="right" w:leader="dot" w:pos="9073"/>
        </w:tabs>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i w:val="0"/>
          <w:caps w:val="0"/>
          <w:smallCaps w:val="0"/>
          <w:sz w:val="21"/>
          <w:szCs w:val="21"/>
          <w:highlight w:val="none"/>
          <w:lang w:eastAsia="zh-CN"/>
        </w:rPr>
        <w:fldChar w:fldCharType="begin"/>
      </w:r>
      <w:r>
        <w:rPr>
          <w:rFonts w:hint="eastAsia" w:ascii="宋体" w:hAnsi="宋体" w:eastAsia="宋体" w:cs="宋体"/>
          <w:i w:val="0"/>
          <w:caps w:val="0"/>
          <w:smallCaps w:val="0"/>
          <w:sz w:val="21"/>
          <w:szCs w:val="21"/>
          <w:highlight w:val="none"/>
          <w:lang w:eastAsia="zh-CN"/>
        </w:rPr>
        <w:instrText xml:space="preserve"> HYPERLINK \l _Toc1017 </w:instrText>
      </w:r>
      <w:r>
        <w:rPr>
          <w:rFonts w:hint="eastAsia" w:ascii="宋体" w:hAnsi="宋体" w:eastAsia="宋体" w:cs="宋体"/>
          <w:i w:val="0"/>
          <w:caps w:val="0"/>
          <w:smallCaps w:val="0"/>
          <w:sz w:val="21"/>
          <w:szCs w:val="21"/>
          <w:highlight w:val="none"/>
          <w:lang w:eastAsia="zh-CN"/>
        </w:rPr>
        <w:fldChar w:fldCharType="separate"/>
      </w:r>
      <w:r>
        <w:rPr>
          <w:rFonts w:hint="eastAsia" w:ascii="宋体" w:hAnsi="宋体" w:eastAsia="宋体" w:cs="宋体"/>
          <w:bCs/>
          <w:sz w:val="21"/>
          <w:szCs w:val="21"/>
          <w:highlight w:val="none"/>
        </w:rPr>
        <w:t>二、特殊标准和技术规范</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_Toc1017 </w:instrText>
      </w:r>
      <w:r>
        <w:rPr>
          <w:rFonts w:hint="eastAsia" w:ascii="宋体" w:hAnsi="宋体" w:eastAsia="宋体" w:cs="宋体"/>
          <w:sz w:val="21"/>
          <w:szCs w:val="21"/>
        </w:rPr>
        <w:fldChar w:fldCharType="separate"/>
      </w:r>
      <w:r>
        <w:rPr>
          <w:rFonts w:hint="eastAsia" w:ascii="宋体" w:hAnsi="宋体" w:eastAsia="宋体" w:cs="宋体"/>
          <w:sz w:val="21"/>
          <w:szCs w:val="21"/>
        </w:rPr>
        <w:t>１２６</w:t>
      </w:r>
      <w:r>
        <w:rPr>
          <w:rFonts w:hint="eastAsia" w:ascii="宋体" w:hAnsi="宋体" w:eastAsia="宋体" w:cs="宋体"/>
          <w:sz w:val="21"/>
          <w:szCs w:val="21"/>
        </w:rPr>
        <w:fldChar w:fldCharType="end"/>
      </w:r>
      <w:r>
        <w:rPr>
          <w:rFonts w:hint="eastAsia" w:ascii="宋体" w:hAnsi="宋体" w:eastAsia="宋体" w:cs="宋体"/>
          <w:i w:val="0"/>
          <w:caps w:val="0"/>
          <w:smallCaps w:val="0"/>
          <w:sz w:val="21"/>
          <w:szCs w:val="21"/>
          <w:highlight w:val="none"/>
          <w:lang w:eastAsia="zh-CN"/>
        </w:rPr>
        <w:fldChar w:fldCharType="end"/>
      </w:r>
    </w:p>
    <w:p>
      <w:pPr>
        <w:pStyle w:val="31"/>
        <w:keepNext w:val="0"/>
        <w:keepLines w:val="0"/>
        <w:pageBreakBefore w:val="0"/>
        <w:widowControl/>
        <w:tabs>
          <w:tab w:val="right" w:leader="dot" w:pos="9073"/>
        </w:tabs>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i w:val="0"/>
          <w:caps w:val="0"/>
          <w:smallCaps w:val="0"/>
          <w:sz w:val="21"/>
          <w:szCs w:val="21"/>
          <w:highlight w:val="none"/>
          <w:lang w:eastAsia="zh-CN"/>
        </w:rPr>
        <w:fldChar w:fldCharType="begin"/>
      </w:r>
      <w:r>
        <w:rPr>
          <w:rFonts w:hint="eastAsia" w:ascii="宋体" w:hAnsi="宋体" w:eastAsia="宋体" w:cs="宋体"/>
          <w:i w:val="0"/>
          <w:caps w:val="0"/>
          <w:smallCaps w:val="0"/>
          <w:sz w:val="21"/>
          <w:szCs w:val="21"/>
          <w:highlight w:val="none"/>
          <w:lang w:eastAsia="zh-CN"/>
        </w:rPr>
        <w:instrText xml:space="preserve"> HYPERLINK \l _Toc21379 </w:instrText>
      </w:r>
      <w:r>
        <w:rPr>
          <w:rFonts w:hint="eastAsia" w:ascii="宋体" w:hAnsi="宋体" w:eastAsia="宋体" w:cs="宋体"/>
          <w:i w:val="0"/>
          <w:caps w:val="0"/>
          <w:smallCaps w:val="0"/>
          <w:sz w:val="21"/>
          <w:szCs w:val="21"/>
          <w:highlight w:val="none"/>
          <w:lang w:eastAsia="zh-CN"/>
        </w:rPr>
        <w:fldChar w:fldCharType="separate"/>
      </w:r>
      <w:r>
        <w:rPr>
          <w:rFonts w:hint="eastAsia" w:ascii="宋体" w:hAnsi="宋体" w:eastAsia="宋体" w:cs="宋体"/>
          <w:bCs/>
          <w:sz w:val="21"/>
          <w:szCs w:val="21"/>
          <w:highlight w:val="none"/>
        </w:rPr>
        <w:t>三、工程技术要求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_Toc21379 </w:instrText>
      </w:r>
      <w:r>
        <w:rPr>
          <w:rFonts w:hint="eastAsia" w:ascii="宋体" w:hAnsi="宋体" w:eastAsia="宋体" w:cs="宋体"/>
          <w:sz w:val="21"/>
          <w:szCs w:val="21"/>
        </w:rPr>
        <w:fldChar w:fldCharType="separate"/>
      </w:r>
      <w:r>
        <w:rPr>
          <w:rFonts w:hint="eastAsia" w:ascii="宋体" w:hAnsi="宋体" w:eastAsia="宋体" w:cs="宋体"/>
          <w:sz w:val="21"/>
          <w:szCs w:val="21"/>
        </w:rPr>
        <w:t>１２７</w:t>
      </w:r>
      <w:r>
        <w:rPr>
          <w:rFonts w:hint="eastAsia" w:ascii="宋体" w:hAnsi="宋体" w:eastAsia="宋体" w:cs="宋体"/>
          <w:sz w:val="21"/>
          <w:szCs w:val="21"/>
        </w:rPr>
        <w:fldChar w:fldCharType="end"/>
      </w:r>
      <w:r>
        <w:rPr>
          <w:rFonts w:hint="eastAsia" w:ascii="宋体" w:hAnsi="宋体" w:eastAsia="宋体" w:cs="宋体"/>
          <w:i w:val="0"/>
          <w:caps w:val="0"/>
          <w:smallCaps w:val="0"/>
          <w:sz w:val="21"/>
          <w:szCs w:val="21"/>
          <w:highlight w:val="none"/>
          <w:lang w:eastAsia="zh-CN"/>
        </w:rPr>
        <w:fldChar w:fldCharType="end"/>
      </w:r>
    </w:p>
    <w:p>
      <w:pPr>
        <w:pStyle w:val="26"/>
        <w:keepNext w:val="0"/>
        <w:keepLines w:val="0"/>
        <w:pageBreakBefore w:val="0"/>
        <w:widowControl/>
        <w:tabs>
          <w:tab w:val="right" w:leader="dot" w:pos="9073"/>
        </w:tabs>
        <w:kinsoku/>
        <w:wordWrap/>
        <w:overflowPunct/>
        <w:topLinePunct w:val="0"/>
        <w:autoSpaceDE/>
        <w:autoSpaceDN/>
        <w:bidi w:val="0"/>
        <w:adjustRightInd/>
        <w:snapToGrid/>
        <w:spacing w:before="0" w:after="0"/>
        <w:textAlignment w:val="auto"/>
        <w:rPr>
          <w:rFonts w:hint="eastAsia" w:ascii="宋体" w:hAnsi="宋体" w:eastAsia="宋体" w:cs="宋体"/>
          <w:sz w:val="21"/>
          <w:szCs w:val="21"/>
        </w:rPr>
      </w:pPr>
      <w:r>
        <w:rPr>
          <w:rFonts w:hint="eastAsia" w:ascii="宋体" w:hAnsi="宋体" w:eastAsia="宋体" w:cs="宋体"/>
          <w:i w:val="0"/>
          <w:caps w:val="0"/>
          <w:smallCaps w:val="0"/>
          <w:sz w:val="21"/>
          <w:szCs w:val="21"/>
          <w:highlight w:val="none"/>
          <w:lang w:eastAsia="zh-CN"/>
        </w:rPr>
        <w:fldChar w:fldCharType="begin"/>
      </w:r>
      <w:r>
        <w:rPr>
          <w:rFonts w:hint="eastAsia" w:ascii="宋体" w:hAnsi="宋体" w:eastAsia="宋体" w:cs="宋体"/>
          <w:i w:val="0"/>
          <w:caps w:val="0"/>
          <w:smallCaps w:val="0"/>
          <w:sz w:val="21"/>
          <w:szCs w:val="21"/>
          <w:highlight w:val="none"/>
          <w:lang w:eastAsia="zh-CN"/>
        </w:rPr>
        <w:instrText xml:space="preserve"> HYPERLINK \l _Toc9826 </w:instrText>
      </w:r>
      <w:r>
        <w:rPr>
          <w:rFonts w:hint="eastAsia" w:ascii="宋体" w:hAnsi="宋体" w:eastAsia="宋体" w:cs="宋体"/>
          <w:i w:val="0"/>
          <w:caps w:val="0"/>
          <w:smallCaps w:val="0"/>
          <w:sz w:val="21"/>
          <w:szCs w:val="21"/>
          <w:highlight w:val="none"/>
          <w:lang w:eastAsia="zh-CN"/>
        </w:rPr>
        <w:fldChar w:fldCharType="separate"/>
      </w:r>
      <w:r>
        <w:rPr>
          <w:rFonts w:hint="eastAsia" w:ascii="宋体" w:hAnsi="宋体" w:eastAsia="宋体" w:cs="宋体"/>
          <w:sz w:val="21"/>
          <w:szCs w:val="21"/>
          <w:highlight w:val="none"/>
        </w:rPr>
        <w:t>第七章  图纸</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_Toc9826 </w:instrText>
      </w:r>
      <w:r>
        <w:rPr>
          <w:rFonts w:hint="eastAsia" w:ascii="宋体" w:hAnsi="宋体" w:eastAsia="宋体" w:cs="宋体"/>
          <w:sz w:val="21"/>
          <w:szCs w:val="21"/>
        </w:rPr>
        <w:fldChar w:fldCharType="separate"/>
      </w:r>
      <w:r>
        <w:rPr>
          <w:rFonts w:hint="eastAsia" w:ascii="宋体" w:hAnsi="宋体" w:eastAsia="宋体" w:cs="宋体"/>
          <w:sz w:val="21"/>
          <w:szCs w:val="21"/>
        </w:rPr>
        <w:t>１２８</w:t>
      </w:r>
      <w:r>
        <w:rPr>
          <w:rFonts w:hint="eastAsia" w:ascii="宋体" w:hAnsi="宋体" w:eastAsia="宋体" w:cs="宋体"/>
          <w:sz w:val="21"/>
          <w:szCs w:val="21"/>
        </w:rPr>
        <w:fldChar w:fldCharType="end"/>
      </w:r>
      <w:r>
        <w:rPr>
          <w:rFonts w:hint="eastAsia" w:ascii="宋体" w:hAnsi="宋体" w:eastAsia="宋体" w:cs="宋体"/>
          <w:i w:val="0"/>
          <w:caps w:val="0"/>
          <w:smallCaps w:val="0"/>
          <w:sz w:val="21"/>
          <w:szCs w:val="21"/>
          <w:highlight w:val="none"/>
          <w:lang w:eastAsia="zh-CN"/>
        </w:rPr>
        <w:fldChar w:fldCharType="end"/>
      </w:r>
    </w:p>
    <w:p>
      <w:pPr>
        <w:pStyle w:val="31"/>
        <w:keepNext w:val="0"/>
        <w:keepLines w:val="0"/>
        <w:pageBreakBefore w:val="0"/>
        <w:widowControl/>
        <w:tabs>
          <w:tab w:val="right" w:leader="dot" w:pos="9073"/>
        </w:tabs>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i w:val="0"/>
          <w:caps w:val="0"/>
          <w:smallCaps w:val="0"/>
          <w:sz w:val="21"/>
          <w:szCs w:val="21"/>
          <w:highlight w:val="none"/>
          <w:lang w:eastAsia="zh-CN"/>
        </w:rPr>
        <w:fldChar w:fldCharType="begin"/>
      </w:r>
      <w:r>
        <w:rPr>
          <w:rFonts w:hint="eastAsia" w:ascii="宋体" w:hAnsi="宋体" w:eastAsia="宋体" w:cs="宋体"/>
          <w:i w:val="0"/>
          <w:caps w:val="0"/>
          <w:smallCaps w:val="0"/>
          <w:sz w:val="21"/>
          <w:szCs w:val="21"/>
          <w:highlight w:val="none"/>
          <w:lang w:eastAsia="zh-CN"/>
        </w:rPr>
        <w:instrText xml:space="preserve"> HYPERLINK \l _Toc4802 </w:instrText>
      </w:r>
      <w:r>
        <w:rPr>
          <w:rFonts w:hint="eastAsia" w:ascii="宋体" w:hAnsi="宋体" w:eastAsia="宋体" w:cs="宋体"/>
          <w:i w:val="0"/>
          <w:caps w:val="0"/>
          <w:smallCaps w:val="0"/>
          <w:sz w:val="21"/>
          <w:szCs w:val="21"/>
          <w:highlight w:val="none"/>
          <w:lang w:eastAsia="zh-CN"/>
        </w:rPr>
        <w:fldChar w:fldCharType="separate"/>
      </w:r>
      <w:r>
        <w:rPr>
          <w:rFonts w:hint="eastAsia" w:ascii="宋体" w:hAnsi="宋体" w:eastAsia="宋体" w:cs="宋体"/>
          <w:sz w:val="21"/>
          <w:szCs w:val="21"/>
          <w:highlight w:val="none"/>
        </w:rPr>
        <w:t>一、图纸清单</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_Toc4802 </w:instrText>
      </w:r>
      <w:r>
        <w:rPr>
          <w:rFonts w:hint="eastAsia" w:ascii="宋体" w:hAnsi="宋体" w:eastAsia="宋体" w:cs="宋体"/>
          <w:sz w:val="21"/>
          <w:szCs w:val="21"/>
        </w:rPr>
        <w:fldChar w:fldCharType="separate"/>
      </w:r>
      <w:r>
        <w:rPr>
          <w:rFonts w:hint="eastAsia" w:ascii="宋体" w:hAnsi="宋体" w:eastAsia="宋体" w:cs="宋体"/>
          <w:sz w:val="21"/>
          <w:szCs w:val="21"/>
        </w:rPr>
        <w:t>１２８</w:t>
      </w:r>
      <w:r>
        <w:rPr>
          <w:rFonts w:hint="eastAsia" w:ascii="宋体" w:hAnsi="宋体" w:eastAsia="宋体" w:cs="宋体"/>
          <w:sz w:val="21"/>
          <w:szCs w:val="21"/>
        </w:rPr>
        <w:fldChar w:fldCharType="end"/>
      </w:r>
      <w:r>
        <w:rPr>
          <w:rFonts w:hint="eastAsia" w:ascii="宋体" w:hAnsi="宋体" w:eastAsia="宋体" w:cs="宋体"/>
          <w:i w:val="0"/>
          <w:caps w:val="0"/>
          <w:smallCaps w:val="0"/>
          <w:sz w:val="21"/>
          <w:szCs w:val="21"/>
          <w:highlight w:val="none"/>
          <w:lang w:eastAsia="zh-CN"/>
        </w:rPr>
        <w:fldChar w:fldCharType="end"/>
      </w:r>
    </w:p>
    <w:p>
      <w:pPr>
        <w:pStyle w:val="31"/>
        <w:keepNext w:val="0"/>
        <w:keepLines w:val="0"/>
        <w:pageBreakBefore w:val="0"/>
        <w:widowControl/>
        <w:tabs>
          <w:tab w:val="right" w:leader="dot" w:pos="9073"/>
        </w:tabs>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i w:val="0"/>
          <w:caps w:val="0"/>
          <w:smallCaps w:val="0"/>
          <w:sz w:val="21"/>
          <w:szCs w:val="21"/>
          <w:highlight w:val="none"/>
          <w:lang w:eastAsia="zh-CN"/>
        </w:rPr>
        <w:fldChar w:fldCharType="begin"/>
      </w:r>
      <w:r>
        <w:rPr>
          <w:rFonts w:hint="eastAsia" w:ascii="宋体" w:hAnsi="宋体" w:eastAsia="宋体" w:cs="宋体"/>
          <w:i w:val="0"/>
          <w:caps w:val="0"/>
          <w:smallCaps w:val="0"/>
          <w:sz w:val="21"/>
          <w:szCs w:val="21"/>
          <w:highlight w:val="none"/>
          <w:lang w:eastAsia="zh-CN"/>
        </w:rPr>
        <w:instrText xml:space="preserve"> HYPERLINK \l _Toc25177 </w:instrText>
      </w:r>
      <w:r>
        <w:rPr>
          <w:rFonts w:hint="eastAsia" w:ascii="宋体" w:hAnsi="宋体" w:eastAsia="宋体" w:cs="宋体"/>
          <w:i w:val="0"/>
          <w:caps w:val="0"/>
          <w:smallCaps w:val="0"/>
          <w:sz w:val="21"/>
          <w:szCs w:val="21"/>
          <w:highlight w:val="none"/>
          <w:lang w:eastAsia="zh-CN"/>
        </w:rPr>
        <w:fldChar w:fldCharType="separate"/>
      </w:r>
      <w:r>
        <w:rPr>
          <w:rFonts w:hint="eastAsia" w:ascii="宋体" w:hAnsi="宋体" w:eastAsia="宋体" w:cs="宋体"/>
          <w:bCs/>
          <w:sz w:val="21"/>
          <w:szCs w:val="21"/>
          <w:highlight w:val="none"/>
        </w:rPr>
        <w:t>二、标准图集清单</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_Toc25177 </w:instrText>
      </w:r>
      <w:r>
        <w:rPr>
          <w:rFonts w:hint="eastAsia" w:ascii="宋体" w:hAnsi="宋体" w:eastAsia="宋体" w:cs="宋体"/>
          <w:sz w:val="21"/>
          <w:szCs w:val="21"/>
        </w:rPr>
        <w:fldChar w:fldCharType="separate"/>
      </w:r>
      <w:r>
        <w:rPr>
          <w:rFonts w:hint="eastAsia" w:ascii="宋体" w:hAnsi="宋体" w:eastAsia="宋体" w:cs="宋体"/>
          <w:sz w:val="21"/>
          <w:szCs w:val="21"/>
        </w:rPr>
        <w:t>１２９</w:t>
      </w:r>
      <w:r>
        <w:rPr>
          <w:rFonts w:hint="eastAsia" w:ascii="宋体" w:hAnsi="宋体" w:eastAsia="宋体" w:cs="宋体"/>
          <w:sz w:val="21"/>
          <w:szCs w:val="21"/>
        </w:rPr>
        <w:fldChar w:fldCharType="end"/>
      </w:r>
      <w:r>
        <w:rPr>
          <w:rFonts w:hint="eastAsia" w:ascii="宋体" w:hAnsi="宋体" w:eastAsia="宋体" w:cs="宋体"/>
          <w:i w:val="0"/>
          <w:caps w:val="0"/>
          <w:smallCaps w:val="0"/>
          <w:sz w:val="21"/>
          <w:szCs w:val="21"/>
          <w:highlight w:val="none"/>
          <w:lang w:eastAsia="zh-CN"/>
        </w:rPr>
        <w:fldChar w:fldCharType="end"/>
      </w:r>
    </w:p>
    <w:p>
      <w:pPr>
        <w:pStyle w:val="26"/>
        <w:keepNext w:val="0"/>
        <w:keepLines w:val="0"/>
        <w:pageBreakBefore w:val="0"/>
        <w:widowControl/>
        <w:tabs>
          <w:tab w:val="right" w:leader="dot" w:pos="9073"/>
        </w:tabs>
        <w:kinsoku/>
        <w:wordWrap/>
        <w:overflowPunct/>
        <w:topLinePunct w:val="0"/>
        <w:autoSpaceDE/>
        <w:autoSpaceDN/>
        <w:bidi w:val="0"/>
        <w:adjustRightInd/>
        <w:snapToGrid/>
        <w:spacing w:before="0" w:after="0"/>
        <w:textAlignment w:val="auto"/>
        <w:rPr>
          <w:rFonts w:hint="eastAsia" w:ascii="宋体" w:hAnsi="宋体" w:eastAsia="宋体" w:cs="宋体"/>
          <w:sz w:val="21"/>
          <w:szCs w:val="21"/>
        </w:rPr>
      </w:pPr>
      <w:r>
        <w:rPr>
          <w:rFonts w:hint="eastAsia" w:ascii="宋体" w:hAnsi="宋体" w:eastAsia="宋体" w:cs="宋体"/>
          <w:i w:val="0"/>
          <w:caps w:val="0"/>
          <w:smallCaps w:val="0"/>
          <w:sz w:val="21"/>
          <w:szCs w:val="21"/>
          <w:highlight w:val="none"/>
          <w:lang w:eastAsia="zh-CN"/>
        </w:rPr>
        <w:fldChar w:fldCharType="begin"/>
      </w:r>
      <w:r>
        <w:rPr>
          <w:rFonts w:hint="eastAsia" w:ascii="宋体" w:hAnsi="宋体" w:eastAsia="宋体" w:cs="宋体"/>
          <w:i w:val="0"/>
          <w:caps w:val="0"/>
          <w:smallCaps w:val="0"/>
          <w:sz w:val="21"/>
          <w:szCs w:val="21"/>
          <w:highlight w:val="none"/>
          <w:lang w:eastAsia="zh-CN"/>
        </w:rPr>
        <w:instrText xml:space="preserve"> HYPERLINK \l _Toc10843 </w:instrText>
      </w:r>
      <w:r>
        <w:rPr>
          <w:rFonts w:hint="eastAsia" w:ascii="宋体" w:hAnsi="宋体" w:eastAsia="宋体" w:cs="宋体"/>
          <w:i w:val="0"/>
          <w:caps w:val="0"/>
          <w:smallCaps w:val="0"/>
          <w:sz w:val="21"/>
          <w:szCs w:val="21"/>
          <w:highlight w:val="none"/>
          <w:lang w:eastAsia="zh-CN"/>
        </w:rPr>
        <w:fldChar w:fldCharType="separate"/>
      </w:r>
      <w:r>
        <w:rPr>
          <w:rFonts w:hint="eastAsia" w:ascii="宋体" w:hAnsi="宋体" w:eastAsia="宋体" w:cs="宋体"/>
          <w:bCs/>
          <w:sz w:val="21"/>
          <w:szCs w:val="21"/>
          <w:highlight w:val="none"/>
        </w:rPr>
        <w:t>第八章  工程量清单</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_Toc10843 </w:instrText>
      </w:r>
      <w:r>
        <w:rPr>
          <w:rFonts w:hint="eastAsia" w:ascii="宋体" w:hAnsi="宋体" w:eastAsia="宋体" w:cs="宋体"/>
          <w:sz w:val="21"/>
          <w:szCs w:val="21"/>
        </w:rPr>
        <w:fldChar w:fldCharType="separate"/>
      </w:r>
      <w:r>
        <w:rPr>
          <w:rFonts w:hint="eastAsia" w:ascii="宋体" w:hAnsi="宋体" w:eastAsia="宋体" w:cs="宋体"/>
          <w:sz w:val="21"/>
          <w:szCs w:val="21"/>
        </w:rPr>
        <w:t>１３０</w:t>
      </w:r>
      <w:r>
        <w:rPr>
          <w:rFonts w:hint="eastAsia" w:ascii="宋体" w:hAnsi="宋体" w:eastAsia="宋体" w:cs="宋体"/>
          <w:sz w:val="21"/>
          <w:szCs w:val="21"/>
        </w:rPr>
        <w:fldChar w:fldCharType="end"/>
      </w:r>
      <w:r>
        <w:rPr>
          <w:rFonts w:hint="eastAsia" w:ascii="宋体" w:hAnsi="宋体" w:eastAsia="宋体" w:cs="宋体"/>
          <w:i w:val="0"/>
          <w:caps w:val="0"/>
          <w:smallCaps w:val="0"/>
          <w:sz w:val="21"/>
          <w:szCs w:val="21"/>
          <w:highlight w:val="none"/>
          <w:lang w:eastAsia="zh-CN"/>
        </w:rPr>
        <w:fldChar w:fldCharType="end"/>
      </w:r>
    </w:p>
    <w:p>
      <w:pPr>
        <w:pStyle w:val="31"/>
        <w:keepNext w:val="0"/>
        <w:keepLines w:val="0"/>
        <w:pageBreakBefore w:val="0"/>
        <w:widowControl/>
        <w:tabs>
          <w:tab w:val="right" w:leader="dot" w:pos="9073"/>
        </w:tabs>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i w:val="0"/>
          <w:caps w:val="0"/>
          <w:smallCaps w:val="0"/>
          <w:sz w:val="21"/>
          <w:szCs w:val="21"/>
          <w:highlight w:val="none"/>
          <w:lang w:eastAsia="zh-CN"/>
        </w:rPr>
        <w:fldChar w:fldCharType="begin"/>
      </w:r>
      <w:r>
        <w:rPr>
          <w:rFonts w:hint="eastAsia" w:ascii="宋体" w:hAnsi="宋体" w:eastAsia="宋体" w:cs="宋体"/>
          <w:i w:val="0"/>
          <w:caps w:val="0"/>
          <w:smallCaps w:val="0"/>
          <w:sz w:val="21"/>
          <w:szCs w:val="21"/>
          <w:highlight w:val="none"/>
          <w:lang w:eastAsia="zh-CN"/>
        </w:rPr>
        <w:instrText xml:space="preserve"> HYPERLINK \l _Toc3891 </w:instrText>
      </w:r>
      <w:r>
        <w:rPr>
          <w:rFonts w:hint="eastAsia" w:ascii="宋体" w:hAnsi="宋体" w:eastAsia="宋体" w:cs="宋体"/>
          <w:i w:val="0"/>
          <w:caps w:val="0"/>
          <w:smallCaps w:val="0"/>
          <w:sz w:val="21"/>
          <w:szCs w:val="21"/>
          <w:highlight w:val="none"/>
          <w:lang w:eastAsia="zh-CN"/>
        </w:rPr>
        <w:fldChar w:fldCharType="separate"/>
      </w:r>
      <w:r>
        <w:rPr>
          <w:rFonts w:hint="eastAsia" w:ascii="宋体" w:hAnsi="宋体" w:eastAsia="宋体" w:cs="宋体"/>
          <w:bCs/>
          <w:sz w:val="21"/>
          <w:szCs w:val="21"/>
          <w:highlight w:val="none"/>
        </w:rPr>
        <w:t>一、工程量清单的说明及投标报价要求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_Toc3891 </w:instrText>
      </w:r>
      <w:r>
        <w:rPr>
          <w:rFonts w:hint="eastAsia" w:ascii="宋体" w:hAnsi="宋体" w:eastAsia="宋体" w:cs="宋体"/>
          <w:sz w:val="21"/>
          <w:szCs w:val="21"/>
        </w:rPr>
        <w:fldChar w:fldCharType="separate"/>
      </w:r>
      <w:r>
        <w:rPr>
          <w:rFonts w:hint="eastAsia" w:ascii="宋体" w:hAnsi="宋体" w:eastAsia="宋体" w:cs="宋体"/>
          <w:sz w:val="21"/>
          <w:szCs w:val="21"/>
        </w:rPr>
        <w:t>１３０</w:t>
      </w:r>
      <w:r>
        <w:rPr>
          <w:rFonts w:hint="eastAsia" w:ascii="宋体" w:hAnsi="宋体" w:eastAsia="宋体" w:cs="宋体"/>
          <w:sz w:val="21"/>
          <w:szCs w:val="21"/>
        </w:rPr>
        <w:fldChar w:fldCharType="end"/>
      </w:r>
      <w:r>
        <w:rPr>
          <w:rFonts w:hint="eastAsia" w:ascii="宋体" w:hAnsi="宋体" w:eastAsia="宋体" w:cs="宋体"/>
          <w:i w:val="0"/>
          <w:caps w:val="0"/>
          <w:smallCaps w:val="0"/>
          <w:sz w:val="21"/>
          <w:szCs w:val="21"/>
          <w:highlight w:val="none"/>
          <w:lang w:eastAsia="zh-CN"/>
        </w:rPr>
        <w:fldChar w:fldCharType="end"/>
      </w:r>
    </w:p>
    <w:p>
      <w:pPr>
        <w:pStyle w:val="31"/>
        <w:keepNext w:val="0"/>
        <w:keepLines w:val="0"/>
        <w:pageBreakBefore w:val="0"/>
        <w:widowControl/>
        <w:tabs>
          <w:tab w:val="right" w:leader="dot" w:pos="9073"/>
        </w:tabs>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i w:val="0"/>
          <w:caps w:val="0"/>
          <w:smallCaps w:val="0"/>
          <w:sz w:val="21"/>
          <w:szCs w:val="21"/>
          <w:highlight w:val="none"/>
          <w:lang w:eastAsia="zh-CN"/>
        </w:rPr>
        <w:fldChar w:fldCharType="begin"/>
      </w:r>
      <w:r>
        <w:rPr>
          <w:rFonts w:hint="eastAsia" w:ascii="宋体" w:hAnsi="宋体" w:eastAsia="宋体" w:cs="宋体"/>
          <w:i w:val="0"/>
          <w:caps w:val="0"/>
          <w:smallCaps w:val="0"/>
          <w:sz w:val="21"/>
          <w:szCs w:val="21"/>
          <w:highlight w:val="none"/>
          <w:lang w:eastAsia="zh-CN"/>
        </w:rPr>
        <w:instrText xml:space="preserve"> HYPERLINK \l _Toc18054 </w:instrText>
      </w:r>
      <w:r>
        <w:rPr>
          <w:rFonts w:hint="eastAsia" w:ascii="宋体" w:hAnsi="宋体" w:eastAsia="宋体" w:cs="宋体"/>
          <w:i w:val="0"/>
          <w:caps w:val="0"/>
          <w:smallCaps w:val="0"/>
          <w:sz w:val="21"/>
          <w:szCs w:val="21"/>
          <w:highlight w:val="none"/>
          <w:lang w:eastAsia="zh-CN"/>
        </w:rPr>
        <w:fldChar w:fldCharType="separate"/>
      </w:r>
      <w:r>
        <w:rPr>
          <w:rFonts w:hint="eastAsia" w:ascii="宋体" w:hAnsi="宋体" w:eastAsia="宋体" w:cs="宋体"/>
          <w:bCs/>
          <w:sz w:val="21"/>
          <w:szCs w:val="21"/>
          <w:highlight w:val="none"/>
        </w:rPr>
        <w:t>二、工程量清单格式</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_Toc18054 </w:instrText>
      </w:r>
      <w:r>
        <w:rPr>
          <w:rFonts w:hint="eastAsia" w:ascii="宋体" w:hAnsi="宋体" w:eastAsia="宋体" w:cs="宋体"/>
          <w:sz w:val="21"/>
          <w:szCs w:val="21"/>
        </w:rPr>
        <w:fldChar w:fldCharType="separate"/>
      </w:r>
      <w:r>
        <w:rPr>
          <w:rFonts w:hint="eastAsia" w:ascii="宋体" w:hAnsi="宋体" w:eastAsia="宋体" w:cs="宋体"/>
          <w:sz w:val="21"/>
          <w:szCs w:val="21"/>
        </w:rPr>
        <w:t>１３４</w:t>
      </w:r>
      <w:r>
        <w:rPr>
          <w:rFonts w:hint="eastAsia" w:ascii="宋体" w:hAnsi="宋体" w:eastAsia="宋体" w:cs="宋体"/>
          <w:sz w:val="21"/>
          <w:szCs w:val="21"/>
        </w:rPr>
        <w:fldChar w:fldCharType="end"/>
      </w:r>
      <w:r>
        <w:rPr>
          <w:rFonts w:hint="eastAsia" w:ascii="宋体" w:hAnsi="宋体" w:eastAsia="宋体" w:cs="宋体"/>
          <w:i w:val="0"/>
          <w:caps w:val="0"/>
          <w:smallCaps w:val="0"/>
          <w:sz w:val="21"/>
          <w:szCs w:val="21"/>
          <w:highlight w:val="none"/>
          <w:lang w:eastAsia="zh-CN"/>
        </w:rPr>
        <w:fldChar w:fldCharType="end"/>
      </w:r>
    </w:p>
    <w:p>
      <w:pPr>
        <w:pStyle w:val="26"/>
        <w:keepNext w:val="0"/>
        <w:keepLines w:val="0"/>
        <w:pageBreakBefore w:val="0"/>
        <w:widowControl/>
        <w:tabs>
          <w:tab w:val="right" w:leader="dot" w:pos="9073"/>
        </w:tabs>
        <w:kinsoku/>
        <w:wordWrap/>
        <w:overflowPunct/>
        <w:topLinePunct w:val="0"/>
        <w:autoSpaceDE/>
        <w:autoSpaceDN/>
        <w:bidi w:val="0"/>
        <w:adjustRightInd/>
        <w:snapToGrid/>
        <w:spacing w:before="0" w:after="0"/>
        <w:textAlignment w:val="auto"/>
        <w:rPr>
          <w:rFonts w:hint="eastAsia" w:ascii="宋体" w:hAnsi="宋体" w:eastAsia="宋体" w:cs="宋体"/>
          <w:sz w:val="21"/>
          <w:szCs w:val="21"/>
        </w:rPr>
      </w:pPr>
      <w:r>
        <w:rPr>
          <w:rFonts w:hint="eastAsia" w:ascii="宋体" w:hAnsi="宋体" w:eastAsia="宋体" w:cs="宋体"/>
          <w:i w:val="0"/>
          <w:caps w:val="0"/>
          <w:smallCaps w:val="0"/>
          <w:sz w:val="21"/>
          <w:szCs w:val="21"/>
          <w:highlight w:val="none"/>
          <w:lang w:eastAsia="zh-CN"/>
        </w:rPr>
        <w:fldChar w:fldCharType="begin"/>
      </w:r>
      <w:r>
        <w:rPr>
          <w:rFonts w:hint="eastAsia" w:ascii="宋体" w:hAnsi="宋体" w:eastAsia="宋体" w:cs="宋体"/>
          <w:i w:val="0"/>
          <w:caps w:val="0"/>
          <w:smallCaps w:val="0"/>
          <w:sz w:val="21"/>
          <w:szCs w:val="21"/>
          <w:highlight w:val="none"/>
          <w:lang w:eastAsia="zh-CN"/>
        </w:rPr>
        <w:instrText xml:space="preserve"> HYPERLINK \l _Toc22956 </w:instrText>
      </w:r>
      <w:r>
        <w:rPr>
          <w:rFonts w:hint="eastAsia" w:ascii="宋体" w:hAnsi="宋体" w:eastAsia="宋体" w:cs="宋体"/>
          <w:i w:val="0"/>
          <w:caps w:val="0"/>
          <w:smallCaps w:val="0"/>
          <w:sz w:val="21"/>
          <w:szCs w:val="21"/>
          <w:highlight w:val="none"/>
          <w:lang w:eastAsia="zh-CN"/>
        </w:rPr>
        <w:fldChar w:fldCharType="separate"/>
      </w:r>
      <w:r>
        <w:rPr>
          <w:rFonts w:hint="eastAsia" w:ascii="宋体" w:hAnsi="宋体" w:eastAsia="宋体" w:cs="宋体"/>
          <w:bCs/>
          <w:sz w:val="21"/>
          <w:szCs w:val="21"/>
          <w:highlight w:val="none"/>
        </w:rPr>
        <w:t>第九章  投标文件格式</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_Toc22956 </w:instrText>
      </w:r>
      <w:r>
        <w:rPr>
          <w:rFonts w:hint="eastAsia" w:ascii="宋体" w:hAnsi="宋体" w:eastAsia="宋体" w:cs="宋体"/>
          <w:sz w:val="21"/>
          <w:szCs w:val="21"/>
        </w:rPr>
        <w:fldChar w:fldCharType="separate"/>
      </w:r>
      <w:r>
        <w:rPr>
          <w:rFonts w:hint="eastAsia" w:ascii="宋体" w:hAnsi="宋体" w:eastAsia="宋体" w:cs="宋体"/>
          <w:sz w:val="21"/>
          <w:szCs w:val="21"/>
        </w:rPr>
        <w:t>１４８</w:t>
      </w:r>
      <w:r>
        <w:rPr>
          <w:rFonts w:hint="eastAsia" w:ascii="宋体" w:hAnsi="宋体" w:eastAsia="宋体" w:cs="宋体"/>
          <w:sz w:val="21"/>
          <w:szCs w:val="21"/>
        </w:rPr>
        <w:fldChar w:fldCharType="end"/>
      </w:r>
      <w:r>
        <w:rPr>
          <w:rFonts w:hint="eastAsia" w:ascii="宋体" w:hAnsi="宋体" w:eastAsia="宋体" w:cs="宋体"/>
          <w:i w:val="0"/>
          <w:caps w:val="0"/>
          <w:smallCaps w:val="0"/>
          <w:sz w:val="21"/>
          <w:szCs w:val="21"/>
          <w:highlight w:val="none"/>
          <w:lang w:eastAsia="zh-CN"/>
        </w:rPr>
        <w:fldChar w:fldCharType="end"/>
      </w:r>
    </w:p>
    <w:p>
      <w:pPr>
        <w:pStyle w:val="31"/>
        <w:keepNext w:val="0"/>
        <w:keepLines w:val="0"/>
        <w:pageBreakBefore w:val="0"/>
        <w:widowControl/>
        <w:tabs>
          <w:tab w:val="right" w:leader="dot" w:pos="9073"/>
        </w:tabs>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i w:val="0"/>
          <w:caps w:val="0"/>
          <w:smallCaps w:val="0"/>
          <w:sz w:val="21"/>
          <w:szCs w:val="21"/>
          <w:highlight w:val="none"/>
          <w:lang w:eastAsia="zh-CN"/>
        </w:rPr>
        <w:fldChar w:fldCharType="begin"/>
      </w:r>
      <w:r>
        <w:rPr>
          <w:rFonts w:hint="eastAsia" w:ascii="宋体" w:hAnsi="宋体" w:eastAsia="宋体" w:cs="宋体"/>
          <w:i w:val="0"/>
          <w:caps w:val="0"/>
          <w:smallCaps w:val="0"/>
          <w:sz w:val="21"/>
          <w:szCs w:val="21"/>
          <w:highlight w:val="none"/>
          <w:lang w:eastAsia="zh-CN"/>
        </w:rPr>
        <w:instrText xml:space="preserve"> HYPERLINK \l _Toc29899 </w:instrText>
      </w:r>
      <w:r>
        <w:rPr>
          <w:rFonts w:hint="eastAsia" w:ascii="宋体" w:hAnsi="宋体" w:eastAsia="宋体" w:cs="宋体"/>
          <w:i w:val="0"/>
          <w:caps w:val="0"/>
          <w:smallCaps w:val="0"/>
          <w:sz w:val="21"/>
          <w:szCs w:val="21"/>
          <w:highlight w:val="none"/>
          <w:lang w:eastAsia="zh-CN"/>
        </w:rPr>
        <w:fldChar w:fldCharType="separate"/>
      </w:r>
      <w:r>
        <w:rPr>
          <w:rFonts w:hint="eastAsia" w:ascii="宋体" w:hAnsi="宋体" w:eastAsia="宋体" w:cs="宋体"/>
          <w:sz w:val="21"/>
          <w:szCs w:val="21"/>
          <w:highlight w:val="none"/>
        </w:rPr>
        <w:t>投标文件内容：资格审查文件</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_Toc29899 </w:instrText>
      </w:r>
      <w:r>
        <w:rPr>
          <w:rFonts w:hint="eastAsia" w:ascii="宋体" w:hAnsi="宋体" w:eastAsia="宋体" w:cs="宋体"/>
          <w:sz w:val="21"/>
          <w:szCs w:val="21"/>
        </w:rPr>
        <w:fldChar w:fldCharType="separate"/>
      </w:r>
      <w:r>
        <w:rPr>
          <w:rFonts w:hint="eastAsia" w:ascii="宋体" w:hAnsi="宋体" w:eastAsia="宋体" w:cs="宋体"/>
          <w:sz w:val="21"/>
          <w:szCs w:val="21"/>
        </w:rPr>
        <w:t>１４９</w:t>
      </w:r>
      <w:r>
        <w:rPr>
          <w:rFonts w:hint="eastAsia" w:ascii="宋体" w:hAnsi="宋体" w:eastAsia="宋体" w:cs="宋体"/>
          <w:sz w:val="21"/>
          <w:szCs w:val="21"/>
        </w:rPr>
        <w:fldChar w:fldCharType="end"/>
      </w:r>
      <w:r>
        <w:rPr>
          <w:rFonts w:hint="eastAsia" w:ascii="宋体" w:hAnsi="宋体" w:eastAsia="宋体" w:cs="宋体"/>
          <w:i w:val="0"/>
          <w:caps w:val="0"/>
          <w:smallCaps w:val="0"/>
          <w:sz w:val="21"/>
          <w:szCs w:val="21"/>
          <w:highlight w:val="none"/>
          <w:lang w:eastAsia="zh-CN"/>
        </w:rPr>
        <w:fldChar w:fldCharType="end"/>
      </w:r>
    </w:p>
    <w:p>
      <w:pPr>
        <w:pStyle w:val="31"/>
        <w:keepNext w:val="0"/>
        <w:keepLines w:val="0"/>
        <w:pageBreakBefore w:val="0"/>
        <w:widowControl/>
        <w:tabs>
          <w:tab w:val="right" w:leader="dot" w:pos="9073"/>
        </w:tabs>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i w:val="0"/>
          <w:caps w:val="0"/>
          <w:smallCaps w:val="0"/>
          <w:sz w:val="21"/>
          <w:szCs w:val="21"/>
          <w:highlight w:val="none"/>
          <w:lang w:eastAsia="zh-CN"/>
        </w:rPr>
        <w:fldChar w:fldCharType="begin"/>
      </w:r>
      <w:r>
        <w:rPr>
          <w:rFonts w:hint="eastAsia" w:ascii="宋体" w:hAnsi="宋体" w:eastAsia="宋体" w:cs="宋体"/>
          <w:i w:val="0"/>
          <w:caps w:val="0"/>
          <w:smallCaps w:val="0"/>
          <w:sz w:val="21"/>
          <w:szCs w:val="21"/>
          <w:highlight w:val="none"/>
          <w:lang w:eastAsia="zh-CN"/>
        </w:rPr>
        <w:instrText xml:space="preserve"> HYPERLINK \l _Toc26088 </w:instrText>
      </w:r>
      <w:r>
        <w:rPr>
          <w:rFonts w:hint="eastAsia" w:ascii="宋体" w:hAnsi="宋体" w:eastAsia="宋体" w:cs="宋体"/>
          <w:i w:val="0"/>
          <w:caps w:val="0"/>
          <w:smallCaps w:val="0"/>
          <w:sz w:val="21"/>
          <w:szCs w:val="21"/>
          <w:highlight w:val="none"/>
          <w:lang w:eastAsia="zh-CN"/>
        </w:rPr>
        <w:fldChar w:fldCharType="separate"/>
      </w:r>
      <w:r>
        <w:rPr>
          <w:rFonts w:hint="eastAsia" w:ascii="宋体" w:hAnsi="宋体" w:eastAsia="宋体" w:cs="宋体"/>
          <w:sz w:val="21"/>
          <w:szCs w:val="21"/>
          <w:highlight w:val="none"/>
        </w:rPr>
        <w:t>投标文件内容：商务标部分</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_Toc26088 </w:instrText>
      </w:r>
      <w:r>
        <w:rPr>
          <w:rFonts w:hint="eastAsia" w:ascii="宋体" w:hAnsi="宋体" w:eastAsia="宋体" w:cs="宋体"/>
          <w:sz w:val="21"/>
          <w:szCs w:val="21"/>
        </w:rPr>
        <w:fldChar w:fldCharType="separate"/>
      </w:r>
      <w:r>
        <w:rPr>
          <w:rFonts w:hint="eastAsia" w:ascii="宋体" w:hAnsi="宋体" w:eastAsia="宋体" w:cs="宋体"/>
          <w:sz w:val="21"/>
          <w:szCs w:val="21"/>
        </w:rPr>
        <w:t>１５２</w:t>
      </w:r>
      <w:r>
        <w:rPr>
          <w:rFonts w:hint="eastAsia" w:ascii="宋体" w:hAnsi="宋体" w:eastAsia="宋体" w:cs="宋体"/>
          <w:sz w:val="21"/>
          <w:szCs w:val="21"/>
        </w:rPr>
        <w:fldChar w:fldCharType="end"/>
      </w:r>
      <w:r>
        <w:rPr>
          <w:rFonts w:hint="eastAsia" w:ascii="宋体" w:hAnsi="宋体" w:eastAsia="宋体" w:cs="宋体"/>
          <w:i w:val="0"/>
          <w:caps w:val="0"/>
          <w:smallCaps w:val="0"/>
          <w:sz w:val="21"/>
          <w:szCs w:val="21"/>
          <w:highlight w:val="none"/>
          <w:lang w:eastAsia="zh-CN"/>
        </w:rPr>
        <w:fldChar w:fldCharType="end"/>
      </w:r>
    </w:p>
    <w:p>
      <w:pPr>
        <w:pStyle w:val="31"/>
        <w:keepNext w:val="0"/>
        <w:keepLines w:val="0"/>
        <w:pageBreakBefore w:val="0"/>
        <w:widowControl/>
        <w:tabs>
          <w:tab w:val="right" w:leader="dot" w:pos="9073"/>
        </w:tabs>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i w:val="0"/>
          <w:caps w:val="0"/>
          <w:smallCaps w:val="0"/>
          <w:sz w:val="21"/>
          <w:szCs w:val="21"/>
          <w:highlight w:val="none"/>
          <w:lang w:eastAsia="zh-CN"/>
        </w:rPr>
        <w:fldChar w:fldCharType="begin"/>
      </w:r>
      <w:r>
        <w:rPr>
          <w:rFonts w:hint="eastAsia" w:ascii="宋体" w:hAnsi="宋体" w:eastAsia="宋体" w:cs="宋体"/>
          <w:i w:val="0"/>
          <w:caps w:val="0"/>
          <w:smallCaps w:val="0"/>
          <w:sz w:val="21"/>
          <w:szCs w:val="21"/>
          <w:highlight w:val="none"/>
          <w:lang w:eastAsia="zh-CN"/>
        </w:rPr>
        <w:instrText xml:space="preserve"> HYPERLINK \l _Toc19094 </w:instrText>
      </w:r>
      <w:r>
        <w:rPr>
          <w:rFonts w:hint="eastAsia" w:ascii="宋体" w:hAnsi="宋体" w:eastAsia="宋体" w:cs="宋体"/>
          <w:i w:val="0"/>
          <w:caps w:val="0"/>
          <w:smallCaps w:val="0"/>
          <w:sz w:val="21"/>
          <w:szCs w:val="21"/>
          <w:highlight w:val="none"/>
          <w:lang w:eastAsia="zh-CN"/>
        </w:rPr>
        <w:fldChar w:fldCharType="separate"/>
      </w:r>
      <w:r>
        <w:rPr>
          <w:rFonts w:hint="eastAsia" w:ascii="宋体" w:hAnsi="宋体" w:eastAsia="宋体" w:cs="宋体"/>
          <w:sz w:val="21"/>
          <w:szCs w:val="21"/>
          <w:highlight w:val="none"/>
        </w:rPr>
        <w:t>投标文件内容：技术标部分</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_Toc19094 </w:instrText>
      </w:r>
      <w:r>
        <w:rPr>
          <w:rFonts w:hint="eastAsia" w:ascii="宋体" w:hAnsi="宋体" w:eastAsia="宋体" w:cs="宋体"/>
          <w:sz w:val="21"/>
          <w:szCs w:val="21"/>
        </w:rPr>
        <w:fldChar w:fldCharType="separate"/>
      </w:r>
      <w:r>
        <w:rPr>
          <w:rFonts w:hint="eastAsia" w:ascii="宋体" w:hAnsi="宋体" w:eastAsia="宋体" w:cs="宋体"/>
          <w:sz w:val="21"/>
          <w:szCs w:val="21"/>
        </w:rPr>
        <w:t>１６２</w:t>
      </w:r>
      <w:r>
        <w:rPr>
          <w:rFonts w:hint="eastAsia" w:ascii="宋体" w:hAnsi="宋体" w:eastAsia="宋体" w:cs="宋体"/>
          <w:sz w:val="21"/>
          <w:szCs w:val="21"/>
        </w:rPr>
        <w:fldChar w:fldCharType="end"/>
      </w:r>
      <w:r>
        <w:rPr>
          <w:rFonts w:hint="eastAsia" w:ascii="宋体" w:hAnsi="宋体" w:eastAsia="宋体" w:cs="宋体"/>
          <w:i w:val="0"/>
          <w:caps w:val="0"/>
          <w:smallCaps w:val="0"/>
          <w:sz w:val="21"/>
          <w:szCs w:val="21"/>
          <w:highlight w:val="none"/>
          <w:lang w:eastAsia="zh-CN"/>
        </w:rPr>
        <w:fldChar w:fldCharType="end"/>
      </w:r>
    </w:p>
    <w:p>
      <w:pPr>
        <w:pStyle w:val="26"/>
        <w:keepNext w:val="0"/>
        <w:keepLines w:val="0"/>
        <w:pageBreakBefore w:val="0"/>
        <w:widowControl/>
        <w:tabs>
          <w:tab w:val="right" w:leader="dot" w:pos="9073"/>
        </w:tabs>
        <w:kinsoku/>
        <w:wordWrap/>
        <w:overflowPunct/>
        <w:topLinePunct w:val="0"/>
        <w:autoSpaceDE/>
        <w:autoSpaceDN/>
        <w:bidi w:val="0"/>
        <w:adjustRightInd/>
        <w:snapToGrid/>
        <w:spacing w:before="0" w:after="0"/>
        <w:textAlignment w:val="auto"/>
      </w:pPr>
      <w:r>
        <w:rPr>
          <w:rFonts w:hint="eastAsia" w:ascii="宋体" w:hAnsi="宋体" w:eastAsia="宋体" w:cs="宋体"/>
          <w:i w:val="0"/>
          <w:caps w:val="0"/>
          <w:smallCaps w:val="0"/>
          <w:sz w:val="21"/>
          <w:szCs w:val="21"/>
          <w:highlight w:val="none"/>
          <w:lang w:eastAsia="zh-CN"/>
        </w:rPr>
        <w:fldChar w:fldCharType="begin"/>
      </w:r>
      <w:r>
        <w:rPr>
          <w:rFonts w:hint="eastAsia" w:ascii="宋体" w:hAnsi="宋体" w:eastAsia="宋体" w:cs="宋体"/>
          <w:i w:val="0"/>
          <w:caps w:val="0"/>
          <w:smallCaps w:val="0"/>
          <w:sz w:val="21"/>
          <w:szCs w:val="21"/>
          <w:highlight w:val="none"/>
          <w:lang w:eastAsia="zh-CN"/>
        </w:rPr>
        <w:instrText xml:space="preserve"> HYPERLINK \l _Toc13871 </w:instrText>
      </w:r>
      <w:r>
        <w:rPr>
          <w:rFonts w:hint="eastAsia" w:ascii="宋体" w:hAnsi="宋体" w:eastAsia="宋体" w:cs="宋体"/>
          <w:i w:val="0"/>
          <w:caps w:val="0"/>
          <w:smallCaps w:val="0"/>
          <w:sz w:val="21"/>
          <w:szCs w:val="21"/>
          <w:highlight w:val="none"/>
          <w:lang w:eastAsia="zh-CN"/>
        </w:rPr>
        <w:fldChar w:fldCharType="separate"/>
      </w:r>
      <w:r>
        <w:rPr>
          <w:rFonts w:hint="eastAsia" w:ascii="宋体" w:hAnsi="宋体" w:eastAsia="宋体" w:cs="宋体"/>
          <w:bCs/>
          <w:sz w:val="21"/>
          <w:szCs w:val="21"/>
          <w:highlight w:val="none"/>
        </w:rPr>
        <w:t>第十章  担保书格式</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_Toc13871 </w:instrText>
      </w:r>
      <w:r>
        <w:rPr>
          <w:rFonts w:hint="eastAsia" w:ascii="宋体" w:hAnsi="宋体" w:eastAsia="宋体" w:cs="宋体"/>
          <w:sz w:val="21"/>
          <w:szCs w:val="21"/>
        </w:rPr>
        <w:fldChar w:fldCharType="separate"/>
      </w:r>
      <w:r>
        <w:rPr>
          <w:rFonts w:hint="eastAsia" w:ascii="宋体" w:hAnsi="宋体" w:eastAsia="宋体" w:cs="宋体"/>
          <w:sz w:val="21"/>
          <w:szCs w:val="21"/>
        </w:rPr>
        <w:t>１７５</w:t>
      </w:r>
      <w:r>
        <w:rPr>
          <w:rFonts w:hint="eastAsia" w:ascii="宋体" w:hAnsi="宋体" w:eastAsia="宋体" w:cs="宋体"/>
          <w:sz w:val="21"/>
          <w:szCs w:val="21"/>
        </w:rPr>
        <w:fldChar w:fldCharType="end"/>
      </w:r>
      <w:r>
        <w:rPr>
          <w:rFonts w:hint="eastAsia" w:ascii="宋体" w:hAnsi="宋体" w:eastAsia="宋体" w:cs="宋体"/>
          <w:i w:val="0"/>
          <w:caps w:val="0"/>
          <w:smallCaps w:val="0"/>
          <w:sz w:val="21"/>
          <w:szCs w:val="21"/>
          <w:highlight w:val="none"/>
          <w:lang w:eastAsia="zh-CN"/>
        </w:rPr>
        <w:fldChar w:fldCharType="end"/>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hint="eastAsia"/>
          <w:highlight w:val="none"/>
        </w:rPr>
      </w:pPr>
      <w:r>
        <w:rPr>
          <w:rFonts w:hint="eastAsia" w:ascii="宋体" w:hAnsi="宋体" w:eastAsia="宋体" w:cs="宋体"/>
          <w:i w:val="0"/>
          <w:caps w:val="0"/>
          <w:smallCaps w:val="0"/>
          <w:szCs w:val="24"/>
          <w:highlight w:val="none"/>
          <w:lang w:eastAsia="zh-CN"/>
        </w:rPr>
        <w:fldChar w:fldCharType="end"/>
      </w:r>
      <w:r>
        <w:rPr>
          <w:rFonts w:hint="eastAsia"/>
          <w:highlight w:val="none"/>
        </w:rPr>
        <w:br w:type="page"/>
      </w:r>
    </w:p>
    <w:p>
      <w:pPr>
        <w:adjustRightInd w:val="0"/>
        <w:snapToGrid w:val="0"/>
        <w:spacing w:line="360" w:lineRule="auto"/>
        <w:jc w:val="center"/>
        <w:outlineLvl w:val="0"/>
        <w:rPr>
          <w:rFonts w:hint="eastAsia" w:ascii="黑体" w:hAnsi="黑体" w:eastAsia="黑体" w:cs="黑体"/>
          <w:b w:val="0"/>
          <w:bCs/>
          <w:sz w:val="32"/>
          <w:szCs w:val="32"/>
          <w:highlight w:val="none"/>
        </w:rPr>
      </w:pPr>
      <w:bookmarkStart w:id="0" w:name="_Toc4975"/>
      <w:r>
        <w:rPr>
          <w:rFonts w:hint="eastAsia" w:ascii="黑体" w:hAnsi="黑体" w:eastAsia="黑体" w:cs="黑体"/>
          <w:b w:val="0"/>
          <w:bCs/>
          <w:sz w:val="32"/>
          <w:szCs w:val="32"/>
          <w:highlight w:val="none"/>
        </w:rPr>
        <w:t>第一章  使用说明</w:t>
      </w:r>
      <w:bookmarkEnd w:id="0"/>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一、为了规范工程施工招标投标活动，保障招标人和投标人的合法权益，根据国家及深圳市有关法律、法规、规章和规范性文件的规定，结合我市实际，遵循公开、公平、公正和诚实信用的原则，深圳市住房和建设局制定了《深圳市建设工程施工类招标文件示范文本》（以下简称“本范本”）。</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二、本范本适用于采用评定分离、资格后审、实行《建设工程工程量清单计价规范》(GB50500-2013)并采用计算机评标系统评标的施工招标工程。因采用总价包干、单位经济指标包干、设计施工总承包等方式招标而无法采用计算机评标系统评标的，招标人需对本范本进行修改后方可使用，但仍应使用电子标书编制系统进行招标文件的编制。</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三、本施工招标文件示范文本的主要编写依据：</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1．《中华人民共和国建筑法》；</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2．《中华人民共和国招标投标法》；</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3．《中华人民共和</w:t>
      </w:r>
      <w:r>
        <w:rPr>
          <w:rFonts w:hint="eastAsia" w:ascii="宋体" w:hAnsi="宋体" w:eastAsia="宋体" w:cs="宋体"/>
          <w:sz w:val="21"/>
          <w:szCs w:val="21"/>
          <w:highlight w:val="none"/>
          <w:lang w:eastAsia="zh-CN"/>
        </w:rPr>
        <w:t>国民法典</w:t>
      </w:r>
      <w:r>
        <w:rPr>
          <w:rFonts w:hint="eastAsia" w:ascii="宋体" w:hAnsi="宋体" w:eastAsia="宋体" w:cs="宋体"/>
          <w:sz w:val="21"/>
          <w:szCs w:val="21"/>
          <w:highlight w:val="none"/>
        </w:rPr>
        <w:t>》；</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 《电子招标投标办法》；</w:t>
      </w:r>
    </w:p>
    <w:p>
      <w:pPr>
        <w:adjustRightInd w:val="0"/>
        <w:snapToGrid w:val="0"/>
        <w:spacing w:line="440" w:lineRule="exact"/>
        <w:ind w:firstLine="420" w:firstLineChars="200"/>
        <w:rPr>
          <w:rFonts w:hint="eastAsia" w:ascii="宋体" w:hAnsi="宋体" w:eastAsia="宋体" w:cs="宋体"/>
          <w:sz w:val="21"/>
          <w:szCs w:val="21"/>
          <w:highlight w:val="yellow"/>
          <w:lang w:val="en-US" w:eastAsia="zh-CN"/>
        </w:rPr>
      </w:pPr>
      <w:r>
        <w:rPr>
          <w:rFonts w:hint="eastAsia" w:ascii="宋体" w:hAnsi="宋体" w:eastAsia="宋体" w:cs="宋体"/>
          <w:sz w:val="21"/>
          <w:szCs w:val="21"/>
          <w:highlight w:val="yellow"/>
          <w:lang w:val="en-US" w:eastAsia="zh-CN"/>
        </w:rPr>
        <w:t>5.《保障农民工工资支付条例》；</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．《深圳经济特区建设工程施工招标投标条例》；</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．《建设工程工程量清单计价规范》（GB50500-2013）；</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rPr>
        <w:t>．《关于建设工程招标投标改革的若干规定》(深府〔2015〕73号)；</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9</w:t>
      </w:r>
      <w:r>
        <w:rPr>
          <w:rFonts w:hint="eastAsia" w:ascii="宋体" w:hAnsi="宋体" w:eastAsia="宋体" w:cs="宋体"/>
          <w:sz w:val="21"/>
          <w:szCs w:val="21"/>
          <w:highlight w:val="none"/>
        </w:rPr>
        <w:t>.《关于进一步完善建设工程招标投标制度的若干措施》；</w:t>
      </w:r>
    </w:p>
    <w:p>
      <w:pPr>
        <w:adjustRightInd w:val="0"/>
        <w:snapToGrid w:val="0"/>
        <w:spacing w:line="440" w:lineRule="exact"/>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10.《深圳市建筑废弃物管理办法》（市政府令第330号）;</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11</w:t>
      </w:r>
      <w:r>
        <w:rPr>
          <w:rFonts w:hint="eastAsia" w:ascii="宋体" w:hAnsi="宋体" w:eastAsia="宋体" w:cs="宋体"/>
          <w:sz w:val="21"/>
          <w:szCs w:val="21"/>
          <w:highlight w:val="none"/>
        </w:rPr>
        <w:t>．其他有关工程建设的法律、法规、规章和规范性文件。</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四、本工程招标投标活动在</w:t>
      </w:r>
      <w:bookmarkStart w:id="1" w:name="市局4"/>
      <w:r>
        <w:rPr>
          <w:rFonts w:hint="eastAsia" w:ascii="宋体" w:hAnsi="宋体" w:eastAsia="宋体" w:cs="宋体"/>
          <w:sz w:val="21"/>
          <w:szCs w:val="21"/>
          <w:highlight w:val="none"/>
        </w:rPr>
        <w:t xml:space="preserve">深圳公共资源交易中心 </w:t>
      </w:r>
      <w:bookmarkEnd w:id="1"/>
      <w:r>
        <w:rPr>
          <w:rFonts w:hint="eastAsia" w:ascii="宋体" w:hAnsi="宋体" w:eastAsia="宋体" w:cs="宋体"/>
          <w:color w:val="FF0000"/>
          <w:sz w:val="21"/>
          <w:szCs w:val="21"/>
          <w:highlight w:val="none"/>
        </w:rPr>
        <w:t>深圳交易集团有限公司建设工程招标业务分公司</w:t>
      </w:r>
      <w:bookmarkStart w:id="2" w:name="龙岗4"/>
      <w:r>
        <w:rPr>
          <w:rFonts w:hint="eastAsia" w:ascii="宋体" w:hAnsi="宋体" w:eastAsia="宋体" w:cs="宋体"/>
          <w:color w:val="FF0000"/>
          <w:sz w:val="21"/>
          <w:szCs w:val="21"/>
          <w:highlight w:val="none"/>
          <w:lang w:val="en-US" w:eastAsia="zh-CN"/>
        </w:rPr>
        <w:t>/</w:t>
      </w:r>
      <w:r>
        <w:rPr>
          <w:rFonts w:hint="eastAsia" w:ascii="宋体" w:hAnsi="宋体" w:eastAsia="宋体" w:cs="宋体"/>
          <w:color w:val="FF0000"/>
          <w:sz w:val="21"/>
          <w:szCs w:val="21"/>
          <w:highlight w:val="none"/>
        </w:rPr>
        <w:t>龙岗分公司</w:t>
      </w:r>
      <w:bookmarkEnd w:id="2"/>
      <w:bookmarkStart w:id="3" w:name="宝安4"/>
      <w:r>
        <w:rPr>
          <w:rFonts w:hint="eastAsia" w:ascii="宋体" w:hAnsi="宋体" w:eastAsia="宋体" w:cs="宋体"/>
          <w:color w:val="FF0000"/>
          <w:sz w:val="21"/>
          <w:szCs w:val="21"/>
          <w:highlight w:val="none"/>
          <w:lang w:val="en-US" w:eastAsia="zh-CN"/>
        </w:rPr>
        <w:t>/</w:t>
      </w:r>
      <w:r>
        <w:rPr>
          <w:rFonts w:hint="eastAsia" w:ascii="宋体" w:hAnsi="宋体" w:eastAsia="宋体" w:cs="宋体"/>
          <w:color w:val="FF0000"/>
          <w:sz w:val="21"/>
          <w:szCs w:val="21"/>
          <w:highlight w:val="none"/>
        </w:rPr>
        <w:t>宝安分公司</w:t>
      </w:r>
      <w:bookmarkEnd w:id="3"/>
      <w:r>
        <w:rPr>
          <w:rFonts w:hint="eastAsia" w:ascii="宋体" w:hAnsi="宋体" w:eastAsia="宋体" w:cs="宋体"/>
          <w:color w:val="FF0000"/>
          <w:sz w:val="21"/>
          <w:szCs w:val="21"/>
          <w:highlight w:val="none"/>
        </w:rPr>
        <w:t>进行</w:t>
      </w:r>
      <w:r>
        <w:rPr>
          <w:rFonts w:hint="eastAsia" w:ascii="宋体" w:hAnsi="宋体" w:eastAsia="宋体" w:cs="宋体"/>
          <w:sz w:val="21"/>
          <w:szCs w:val="21"/>
          <w:highlight w:val="none"/>
        </w:rPr>
        <w:t>。</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五、本招标文件所指交易网为：</w:t>
      </w:r>
      <w:r>
        <w:rPr>
          <w:rFonts w:hint="eastAsia" w:ascii="宋体" w:hAnsi="宋体" w:eastAsia="宋体" w:cs="宋体"/>
          <w:color w:val="FF0000"/>
          <w:sz w:val="21"/>
          <w:szCs w:val="21"/>
          <w:highlight w:val="none"/>
          <w:lang w:eastAsia="zh-CN"/>
        </w:rPr>
        <w:t>深圳公共资源交易网（http://www.szggzy.com/）</w:t>
      </w:r>
      <w:r>
        <w:rPr>
          <w:rFonts w:hint="eastAsia" w:ascii="宋体" w:hAnsi="宋体" w:eastAsia="宋体" w:cs="宋体"/>
          <w:sz w:val="21"/>
          <w:szCs w:val="21"/>
          <w:highlight w:val="none"/>
        </w:rPr>
        <w:t>。</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六、招标人和投标人应事先办理企业和相关人员的数字证书（商务标书由非投标单位的造价工程师编制的，该造价工程师也应办理数字证书）。有关手续请查看交易网中的“深圳金建数字证书办事指南”、“金建数字证书损坏应急办理指南”。</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七、电子标书编制系统获取方式应在交易网的</w:t>
      </w:r>
      <w:r>
        <w:rPr>
          <w:rFonts w:hint="eastAsia" w:ascii="宋体" w:hAnsi="宋体" w:eastAsia="宋体" w:cs="宋体"/>
          <w:color w:val="FF0000"/>
          <w:sz w:val="21"/>
          <w:szCs w:val="21"/>
          <w:highlight w:val="none"/>
          <w:lang w:val="en-US" w:eastAsia="zh-CN"/>
        </w:rPr>
        <w:t>服务导航</w:t>
      </w:r>
      <w:r>
        <w:rPr>
          <w:rFonts w:hint="eastAsia" w:ascii="宋体" w:hAnsi="宋体" w:eastAsia="宋体" w:cs="宋体"/>
          <w:color w:val="FF0000"/>
          <w:sz w:val="21"/>
          <w:szCs w:val="21"/>
          <w:highlight w:val="none"/>
        </w:rPr>
        <w:t>-</w:t>
      </w:r>
      <w:r>
        <w:rPr>
          <w:rFonts w:hint="eastAsia" w:ascii="宋体" w:hAnsi="宋体" w:eastAsia="宋体" w:cs="宋体"/>
          <w:color w:val="FF0000"/>
          <w:sz w:val="21"/>
          <w:szCs w:val="21"/>
          <w:highlight w:val="none"/>
          <w:lang w:val="en-US" w:eastAsia="zh-CN"/>
        </w:rPr>
        <w:t>建设工程</w:t>
      </w:r>
      <w:r>
        <w:rPr>
          <w:rFonts w:hint="eastAsia" w:ascii="宋体" w:hAnsi="宋体" w:eastAsia="宋体" w:cs="宋体"/>
          <w:sz w:val="21"/>
          <w:szCs w:val="21"/>
          <w:highlight w:val="none"/>
        </w:rPr>
        <w:t>-工具软件下载。</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八、有关招标问题的说明</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招标文件中的所有空格招标人必须按实填写，无内容或不采用应填写“无”。对本招标文件（含合同）示范文本进行补充、删除或修改的内容，应统一写入本招标文件的第三章。同时，应明确注明是对招标文件示范文本具体章节条款进行补充或修改。第三章内容与其他部分有冲突时，以第三章内容为准，但与相关法律、法规、政策相冲突的除外。</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2．招标文件的建设规模应描述整个建设项目的规模情况和使用功能。</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3．招标文件的招标范围，应详细说明本次招标工程的具体项目、结构类型等定量规模和项目特征。</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4．采用本范本以外的评标方法应经建设行政主管部门批准，并且必须在招标文件的评标方法中进行详细描述。</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5.采用本范本以外的定标方法应经建设行政主管部门批准，并且必须在招标文件中进行详细描述。</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6.招标人注意事项：</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6.1招标人提交的商务标电子招标文件格式为*.ZBS（简称“ZBS文件”），技术标电子招标文件格式为*.ZBJ（简称“ZBJ文件”），送审招标控制价电子文件格式为*.BDS（简称“BDS文件”），且必须是交易网下载的最新版本的深圳市建设工程招标文件编制系统、施工送审招标控制价文件编制系统生成的。</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6.2电子招标文件备案时，如果需要投标人提交商务标，还必须在提交招标文件（“ZBJ文件”）备案的同时提交商务标电子招标文件（“ZBS文件”）。</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6.3 商务标部分有关招标清单的任何变更或者补遗，都需要重新生成完整的“ZBS文件”，技术标部分有关评标方法、评审项目等重要评审内容变更或者补遗，都需要重新生成完整的“ZBJ文件”，并重新备案，不得以其他文件格式（比如Word、Excel等）进行变更或者补遗。招标人应及时将变更后的“ZBS文件”和“ZBJ文件”在“招标文件”模块与原文件进行替换。</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6.4 招标控制价公布在交易网</w:t>
      </w:r>
      <w:r>
        <w:rPr>
          <w:rFonts w:hint="eastAsia" w:ascii="宋体" w:hAnsi="宋体" w:eastAsia="宋体" w:cs="宋体"/>
          <w:sz w:val="21"/>
          <w:szCs w:val="21"/>
          <w:highlight w:val="none"/>
          <w:lang w:val="en-US" w:eastAsia="zh-CN"/>
        </w:rPr>
        <w:t>的</w:t>
      </w:r>
      <w:r>
        <w:rPr>
          <w:rFonts w:hint="eastAsia" w:ascii="宋体" w:hAnsi="宋体" w:eastAsia="宋体" w:cs="宋体"/>
          <w:color w:val="FF0000"/>
          <w:sz w:val="21"/>
          <w:szCs w:val="21"/>
          <w:highlight w:val="none"/>
        </w:rPr>
        <w:t>交易信息</w:t>
      </w:r>
      <w:r>
        <w:rPr>
          <w:rFonts w:hint="eastAsia" w:ascii="宋体" w:hAnsi="宋体" w:eastAsia="宋体" w:cs="宋体"/>
          <w:color w:val="FF0000"/>
          <w:sz w:val="21"/>
          <w:szCs w:val="21"/>
          <w:highlight w:val="none"/>
          <w:lang w:val="en-US" w:eastAsia="zh-CN"/>
        </w:rPr>
        <w:t>-建设工程-</w:t>
      </w:r>
      <w:r>
        <w:rPr>
          <w:rFonts w:hint="eastAsia" w:ascii="宋体" w:hAnsi="宋体" w:eastAsia="宋体" w:cs="宋体"/>
          <w:color w:val="FF0000"/>
          <w:sz w:val="21"/>
          <w:szCs w:val="21"/>
          <w:highlight w:val="none"/>
        </w:rPr>
        <w:t>招标控制价公示</w:t>
      </w:r>
      <w:r>
        <w:rPr>
          <w:rFonts w:hint="eastAsia" w:ascii="宋体" w:hAnsi="宋体" w:eastAsia="宋体" w:cs="宋体"/>
          <w:sz w:val="21"/>
          <w:szCs w:val="21"/>
          <w:highlight w:val="none"/>
        </w:rPr>
        <w:t>模块，“附件信息”所挂文件均为参考文件，如果“附件信息”所挂文件中有关数据与“招标控制价公示”模块公示数据不一致的，以“招标控制价公示”模块公示数据为准。如招标人需更改“招标控制价公示”模块公示数据，则按照重新公示方式进行办理，并确保公示时间符合要求。</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附件信息”所挂文件需包含标底公示表（JPG格式）及送审招标控制价电子文件（“BDS文件”），公示的送审招标控制价电子文件（“BDS文件”）可以是BDS格式，也可以是JPG、Word、Excel等其他格式，由招标人自行选择。</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6.5 BDS格式的送审招标控制价电子文件用于商务标评审，分部分项工程量清单综合单价应当按照工程量清单的项目特征提供其组价过程中的各项数据，如：材料费及其组成。</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BDS文件由招标人在招标控制价公示或商务标开标时自行导入开标系统，评标结束后，BDS格式的送审招标控制价电子文件与评标报告一同公示。</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BDS格式的送审招标控制价电子文件中的工程量清单必须与商务标电子招标文件（“ZBS文件”）中的工程量清单保持一致，且必须与交易网“招标控制价公示”模块中公示的数据一致，否则招标人需以“ZBS文件”中的工程量清单或交易网“招标控制价公示”模块中公示的数据为依据重新编制*.BDS格式的送审招标控制价电子文件。</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用于商务标评审的送审招标控制价电子文件（BDS格式）原则上应与招标控制价公示时所挂送审招标控制价电子文件（BDS、JPG、Word、Excel等格式）一致，如有不同，则应说明理由并在评标结束后与BDS格式的送审招标控制价电子文件一同公示。</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九、有关投标问题的说明</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1.参加投标的单位（包含联合体投标的各成员）须在深圳市住房和建设局或交易网办理企业信息备案。施工、监理及勘察设计企业按要求必须在深圳市住房和建设局备案，其他企业应在交易网办理企业信息登记。</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2.投标人获取招标文件后，应仔细阅读招标文件及附件的全部内容，附件与招标文件具有同等效力。</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3.投标人应在投标截止时间前，登录交易网</w:t>
      </w:r>
      <w:r>
        <w:rPr>
          <w:rFonts w:hint="eastAsia" w:ascii="宋体" w:hAnsi="宋体" w:eastAsia="宋体" w:cs="宋体"/>
          <w:sz w:val="21"/>
          <w:szCs w:val="21"/>
          <w:highlight w:val="none"/>
          <w:lang w:eastAsia="zh-CN"/>
        </w:rPr>
        <w:t>免费</w:t>
      </w:r>
      <w:r>
        <w:rPr>
          <w:rFonts w:hint="eastAsia" w:ascii="宋体" w:hAnsi="宋体" w:eastAsia="宋体" w:cs="宋体"/>
          <w:sz w:val="21"/>
          <w:szCs w:val="21"/>
          <w:highlight w:val="none"/>
        </w:rPr>
        <w:t>查阅或下载招标文件、答疑及招标文件补充通知。</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4.投标人对招标文件有不同意见或不明之处，应在交易网向招标人提出。</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5.投标人应在遵循招标文件的各项规定和要求的前提下，编制投标文件。投标文件必须满足招标文件中的实质性要求和条件。投标文件若出现否决性条款的情形其投标将会被否决。</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6.投标人应严格按招标文件要求，在截标前使用投标人（或联合体主体）企业机构数字证书，通过交易网递交电子投标文件，上传成功后打印回执；为防止网络阻塞，建议预留充足时间上传投标文件。</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7.交易网是投标人获取建设工程电子招标文件和电子送审招标控制价文件的唯一合法渠道。投标人需随时关注交易网，确认所投标的项目招标文件（ZBS、ZBJ）和电子送审招标控制价文件（BDS）是否更新。如果有更新，须下载最新的招标文件和电子送审招标控制价文件用于制作电子投标文件，否则后果由投标人自行承担。</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8.投标人应当遵守深圳交易集团有限公司</w:t>
      </w:r>
      <w:r>
        <w:rPr>
          <w:rFonts w:hint="eastAsia" w:ascii="宋体" w:hAnsi="宋体" w:eastAsia="宋体" w:cs="宋体"/>
          <w:sz w:val="21"/>
          <w:szCs w:val="21"/>
          <w:highlight w:val="none"/>
          <w:lang w:eastAsia="zh-CN"/>
        </w:rPr>
        <w:t>（深圳公共资源交易中心）</w:t>
      </w:r>
      <w:r>
        <w:rPr>
          <w:rFonts w:hint="eastAsia" w:ascii="宋体" w:hAnsi="宋体" w:eastAsia="宋体" w:cs="宋体"/>
          <w:sz w:val="21"/>
          <w:szCs w:val="21"/>
          <w:highlight w:val="none"/>
        </w:rPr>
        <w:t>的相关规定，违反规定导致的不利后果，由投标人自行承担。</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9.投标人须对投标资料的真实性负责。招标人有权将投标文件的部分或全部内容向外公示，若公示期间收到有关弄虚作假投诉的，招标人将提请建设行政主管部门或有关行政管理部门查处。一旦查实将严格按照法律法规以及《施工投标承诺函》的有关承诺作出处理。</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10.若投标人资质证书或安全生产许可证被暂扣或吊销，但仍参与投标的，招标人将取消其投标或中标资格、没收其投标保证金，建设行政主管部门或有关行政管理部门将按弄虚作假行为对其进行行政处罚。</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11.投标人注意事项：</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11.1《深圳市建设工程商务标投标文件编制系统》与《深圳市建设工程技术标投标文件编制系统》安装软件可在交易网的</w:t>
      </w:r>
      <w:r>
        <w:rPr>
          <w:rFonts w:hint="eastAsia" w:ascii="宋体" w:hAnsi="宋体" w:eastAsia="宋体" w:cs="宋体"/>
          <w:color w:val="FF0000"/>
          <w:sz w:val="21"/>
          <w:szCs w:val="21"/>
          <w:highlight w:val="none"/>
          <w:lang w:val="en-US" w:eastAsia="zh-CN"/>
        </w:rPr>
        <w:t>服务导航</w:t>
      </w:r>
      <w:r>
        <w:rPr>
          <w:rFonts w:hint="eastAsia" w:ascii="宋体" w:hAnsi="宋体" w:eastAsia="宋体" w:cs="宋体"/>
          <w:color w:val="FF0000"/>
          <w:sz w:val="21"/>
          <w:szCs w:val="21"/>
          <w:highlight w:val="none"/>
        </w:rPr>
        <w:t>→</w:t>
      </w:r>
      <w:r>
        <w:rPr>
          <w:rFonts w:hint="eastAsia" w:ascii="宋体" w:hAnsi="宋体" w:eastAsia="宋体" w:cs="宋体"/>
          <w:color w:val="FF0000"/>
          <w:sz w:val="21"/>
          <w:szCs w:val="21"/>
          <w:highlight w:val="none"/>
          <w:lang w:val="en-US" w:eastAsia="zh-CN"/>
        </w:rPr>
        <w:t>建设工程</w:t>
      </w:r>
      <w:r>
        <w:rPr>
          <w:rFonts w:hint="eastAsia" w:ascii="宋体" w:hAnsi="宋体" w:eastAsia="宋体" w:cs="宋体"/>
          <w:color w:val="FF0000"/>
          <w:sz w:val="21"/>
          <w:szCs w:val="21"/>
          <w:highlight w:val="none"/>
        </w:rPr>
        <w:t>→工具软件中下载</w:t>
      </w:r>
      <w:r>
        <w:rPr>
          <w:rFonts w:hint="eastAsia" w:ascii="宋体" w:hAnsi="宋体" w:eastAsia="宋体" w:cs="宋体"/>
          <w:sz w:val="21"/>
          <w:szCs w:val="21"/>
          <w:highlight w:val="none"/>
        </w:rPr>
        <w:t>，请注意使用正确的版本，并及时更新。</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11.2电子投标文件必须按招标文件要求有数字证书签名方为合法的投标文件。未对电子文件进行数字证书签名的以及对投标文件进行加密但在开标会规定的时间内没有进行解密的，开标会现场将作为不予受理的投标文件处理。</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11.3在电子标书编制系统中，生成电子标书时，须将所签名的证书签署到相应的位置中。共包括三类签名：（1）机构证书；（2）法定代表人证书；（3）人员证书[技术标部分指建造师（项目经理)，商务标部分指注册造价工程师]。</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11.4招标文件导入计价软件时，请勿修改招标文件的标段结构形式及单位工程名称等。</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11.5在商务标投标文件编制系统中导入投标数据交换文件(*.SWT)后，请注意检查措施项目“安全文明施工措施费”是否有报价,且该项报价需要满足招标文件的要求。</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11.6如招标人未在商务标招标电子文件中提供“暂列金额”，而在招标控制价公示时公布，请投标人在【单项工程其他费】界面中的“暂列金额”处录入相应的金额。</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11.7生成电子投标数据后，点击【查看电子标书】按钮，点击再次核对报价的内容。在编制施工投标承诺函时，其金额必须与电子投标文件中的金额完全一致。</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11.8评标时以电子标书为准，因此在制作电子标书的时候，需要反复核对单位工程、单项工程、工程项目的相关报价。</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11.9投标人可使用投标文件编制系统中的加密功能对网上传输的投标文件中各部分内容进行加密,用于投标文件加密的数字证书必须是本单位的任意一个深圳金建数字证书，包括机构数字证书、机构业务数字证书、机构个人数字证书。</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11.10在编制技术标投标文件时，如果需要粘贴图片，则务必使用JPG格式的文件，并且每张图片的分辨率应小于100dpi，最终的标书文件所占用的磁盘空间必须小于10M；资审文件占用的磁盘空间必须小于5M。</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12. 本工程采用电子招投标系统，请认真阅读本说明，若有疑问可通过载明的联系方式要求技术咨询。</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十、关于电子化招投标系统咨询方式：</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QQ咨询：4009618998</w:t>
      </w:r>
    </w:p>
    <w:p>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电话咨询：010-86483801</w:t>
      </w:r>
    </w:p>
    <w:tbl>
      <w:tblPr>
        <w:tblStyle w:val="39"/>
        <w:tblpPr w:leftFromText="180" w:rightFromText="180" w:vertAnchor="text" w:horzAnchor="page" w:tblpX="1399" w:tblpY="433"/>
        <w:tblOverlap w:val="never"/>
        <w:tblW w:w="929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69"/>
        <w:gridCol w:w="2835"/>
        <w:gridCol w:w="1873"/>
        <w:gridCol w:w="29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1669"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招 标 人：</w:t>
            </w:r>
          </w:p>
        </w:tc>
        <w:tc>
          <w:tcPr>
            <w:tcW w:w="2835"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 xml:space="preserve">      </w:t>
            </w:r>
          </w:p>
        </w:tc>
        <w:tc>
          <w:tcPr>
            <w:tcW w:w="1873" w:type="dxa"/>
            <w:shd w:val="clear" w:color="auto" w:fill="auto"/>
            <w:vAlign w:val="center"/>
          </w:tcPr>
          <w:p>
            <w:pPr>
              <w:adjustRightInd w:val="0"/>
              <w:snapToGrid w:val="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招标代理机构：</w:t>
            </w:r>
          </w:p>
        </w:tc>
        <w:tc>
          <w:tcPr>
            <w:tcW w:w="2913"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1669"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法定代表人：</w:t>
            </w:r>
          </w:p>
        </w:tc>
        <w:tc>
          <w:tcPr>
            <w:tcW w:w="2835" w:type="dxa"/>
            <w:shd w:val="clear" w:color="auto" w:fill="auto"/>
            <w:vAlign w:val="center"/>
          </w:tcPr>
          <w:p>
            <w:pPr>
              <w:adjustRightInd w:val="0"/>
              <w:snapToGrid w:val="0"/>
              <w:spacing w:line="360" w:lineRule="auto"/>
              <w:rPr>
                <w:rFonts w:hint="eastAsia" w:ascii="宋体" w:hAnsi="宋体" w:eastAsia="宋体" w:cs="宋体"/>
                <w:bCs/>
                <w:kern w:val="0"/>
                <w:sz w:val="21"/>
                <w:szCs w:val="21"/>
                <w:highlight w:val="none"/>
                <w:u w:val="single"/>
              </w:rPr>
            </w:pPr>
            <w:r>
              <w:rPr>
                <w:rFonts w:hint="eastAsia" w:ascii="宋体" w:hAnsi="宋体" w:eastAsia="宋体" w:cs="宋体"/>
                <w:kern w:val="0"/>
                <w:sz w:val="21"/>
                <w:szCs w:val="21"/>
                <w:highlight w:val="none"/>
                <w:u w:val="single"/>
              </w:rPr>
              <w:t xml:space="preserve">      </w:t>
            </w:r>
          </w:p>
        </w:tc>
        <w:tc>
          <w:tcPr>
            <w:tcW w:w="1873" w:type="dxa"/>
            <w:shd w:val="clear" w:color="auto" w:fill="auto"/>
            <w:vAlign w:val="center"/>
          </w:tcPr>
          <w:p>
            <w:pPr>
              <w:adjustRightInd w:val="0"/>
              <w:snapToGrid w:val="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法定代表人：</w:t>
            </w:r>
          </w:p>
        </w:tc>
        <w:tc>
          <w:tcPr>
            <w:tcW w:w="2913" w:type="dxa"/>
            <w:shd w:val="clear" w:color="auto" w:fill="auto"/>
            <w:vAlign w:val="center"/>
          </w:tcPr>
          <w:p>
            <w:pPr>
              <w:adjustRightInd w:val="0"/>
              <w:snapToGrid w:val="0"/>
              <w:spacing w:line="360" w:lineRule="auto"/>
              <w:rPr>
                <w:rFonts w:hint="eastAsia" w:ascii="宋体" w:hAnsi="宋体" w:eastAsia="宋体" w:cs="宋体"/>
                <w:bCs/>
                <w:kern w:val="0"/>
                <w:sz w:val="21"/>
                <w:szCs w:val="21"/>
                <w:highlight w:val="none"/>
                <w:u w:val="single"/>
              </w:rPr>
            </w:pPr>
            <w:r>
              <w:rPr>
                <w:rFonts w:hint="eastAsia" w:ascii="宋体" w:hAnsi="宋体" w:eastAsia="宋体" w:cs="宋体"/>
                <w:kern w:val="0"/>
                <w:sz w:val="21"/>
                <w:szCs w:val="21"/>
                <w:highlight w:val="none"/>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1669"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联系地址：</w:t>
            </w:r>
          </w:p>
        </w:tc>
        <w:tc>
          <w:tcPr>
            <w:tcW w:w="2835"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u w:val="single"/>
              </w:rPr>
            </w:pPr>
            <w:r>
              <w:rPr>
                <w:rFonts w:hint="eastAsia" w:ascii="宋体" w:hAnsi="宋体" w:eastAsia="宋体" w:cs="宋体"/>
                <w:bCs/>
                <w:kern w:val="0"/>
                <w:sz w:val="21"/>
                <w:szCs w:val="21"/>
                <w:highlight w:val="none"/>
                <w:u w:val="single"/>
              </w:rPr>
              <w:t xml:space="preserve">      </w:t>
            </w:r>
          </w:p>
        </w:tc>
        <w:tc>
          <w:tcPr>
            <w:tcW w:w="1873" w:type="dxa"/>
            <w:shd w:val="clear" w:color="auto" w:fill="auto"/>
            <w:vAlign w:val="center"/>
          </w:tcPr>
          <w:p>
            <w:pPr>
              <w:adjustRightInd w:val="0"/>
              <w:snapToGrid w:val="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联系地址：</w:t>
            </w:r>
          </w:p>
        </w:tc>
        <w:tc>
          <w:tcPr>
            <w:tcW w:w="2913"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u w:val="single"/>
              </w:rPr>
            </w:pPr>
            <w:r>
              <w:rPr>
                <w:rFonts w:hint="eastAsia" w:ascii="宋体" w:hAnsi="宋体" w:eastAsia="宋体" w:cs="宋体"/>
                <w:bCs/>
                <w:kern w:val="0"/>
                <w:sz w:val="21"/>
                <w:szCs w:val="21"/>
                <w:highlight w:val="none"/>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1669"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联系电话：</w:t>
            </w:r>
          </w:p>
        </w:tc>
        <w:tc>
          <w:tcPr>
            <w:tcW w:w="2835"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u w:val="single"/>
              </w:rPr>
            </w:pPr>
            <w:r>
              <w:rPr>
                <w:rFonts w:hint="eastAsia" w:ascii="宋体" w:hAnsi="宋体" w:eastAsia="宋体" w:cs="宋体"/>
                <w:bCs/>
                <w:kern w:val="0"/>
                <w:sz w:val="21"/>
                <w:szCs w:val="21"/>
                <w:highlight w:val="none"/>
                <w:u w:val="single"/>
              </w:rPr>
              <w:t xml:space="preserve">      </w:t>
            </w:r>
          </w:p>
        </w:tc>
        <w:tc>
          <w:tcPr>
            <w:tcW w:w="1873"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联系电话：</w:t>
            </w:r>
          </w:p>
        </w:tc>
        <w:tc>
          <w:tcPr>
            <w:tcW w:w="2913"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u w:val="single"/>
              </w:rPr>
            </w:pPr>
            <w:r>
              <w:rPr>
                <w:rFonts w:hint="eastAsia" w:ascii="宋体" w:hAnsi="宋体" w:eastAsia="宋体" w:cs="宋体"/>
                <w:bCs/>
                <w:kern w:val="0"/>
                <w:sz w:val="21"/>
                <w:szCs w:val="21"/>
                <w:highlight w:val="none"/>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1669"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传真电话：</w:t>
            </w:r>
          </w:p>
        </w:tc>
        <w:tc>
          <w:tcPr>
            <w:tcW w:w="2835"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u w:val="single"/>
              </w:rPr>
            </w:pPr>
            <w:r>
              <w:rPr>
                <w:rFonts w:hint="eastAsia" w:ascii="宋体" w:hAnsi="宋体" w:eastAsia="宋体" w:cs="宋体"/>
                <w:bCs/>
                <w:kern w:val="0"/>
                <w:sz w:val="21"/>
                <w:szCs w:val="21"/>
                <w:highlight w:val="none"/>
                <w:u w:val="single"/>
              </w:rPr>
              <w:t xml:space="preserve">      </w:t>
            </w:r>
          </w:p>
        </w:tc>
        <w:tc>
          <w:tcPr>
            <w:tcW w:w="1873"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传真电话：</w:t>
            </w:r>
          </w:p>
        </w:tc>
        <w:tc>
          <w:tcPr>
            <w:tcW w:w="2913"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u w:val="single"/>
              </w:rPr>
            </w:pPr>
            <w:r>
              <w:rPr>
                <w:rFonts w:hint="eastAsia" w:ascii="宋体" w:hAnsi="宋体" w:eastAsia="宋体" w:cs="宋体"/>
                <w:bCs/>
                <w:kern w:val="0"/>
                <w:sz w:val="21"/>
                <w:szCs w:val="21"/>
                <w:highlight w:val="none"/>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1669"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电子信箱：</w:t>
            </w:r>
          </w:p>
        </w:tc>
        <w:tc>
          <w:tcPr>
            <w:tcW w:w="2835"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 xml:space="preserve">      </w:t>
            </w:r>
          </w:p>
        </w:tc>
        <w:tc>
          <w:tcPr>
            <w:tcW w:w="1873"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电子信箱：</w:t>
            </w:r>
          </w:p>
        </w:tc>
        <w:tc>
          <w:tcPr>
            <w:tcW w:w="2913"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1669"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日    期：</w:t>
            </w:r>
          </w:p>
        </w:tc>
        <w:tc>
          <w:tcPr>
            <w:tcW w:w="2835"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u w:val="single"/>
              </w:rPr>
            </w:pPr>
            <w:r>
              <w:rPr>
                <w:rFonts w:hint="eastAsia" w:ascii="宋体" w:hAnsi="宋体" w:eastAsia="宋体" w:cs="宋体"/>
                <w:bCs/>
                <w:kern w:val="0"/>
                <w:sz w:val="21"/>
                <w:szCs w:val="21"/>
                <w:highlight w:val="none"/>
                <w:u w:val="single"/>
              </w:rPr>
              <w:t xml:space="preserve">      </w:t>
            </w:r>
          </w:p>
        </w:tc>
        <w:tc>
          <w:tcPr>
            <w:tcW w:w="1873"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日    期：</w:t>
            </w:r>
          </w:p>
        </w:tc>
        <w:tc>
          <w:tcPr>
            <w:tcW w:w="2913"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u w:val="single"/>
              </w:rPr>
            </w:pPr>
            <w:r>
              <w:rPr>
                <w:rFonts w:hint="eastAsia" w:ascii="宋体" w:hAnsi="宋体" w:eastAsia="宋体" w:cs="宋体"/>
                <w:bCs/>
                <w:kern w:val="0"/>
                <w:sz w:val="21"/>
                <w:szCs w:val="21"/>
                <w:highlight w:val="none"/>
                <w:u w:val="single"/>
              </w:rPr>
              <w:t xml:space="preserve">      </w:t>
            </w:r>
          </w:p>
        </w:tc>
      </w:tr>
    </w:tbl>
    <w:p>
      <w:pPr>
        <w:adjustRightInd w:val="0"/>
        <w:snapToGrid w:val="0"/>
        <w:spacing w:line="440" w:lineRule="exact"/>
        <w:ind w:firstLine="420" w:firstLineChars="200"/>
        <w:rPr>
          <w:highlight w:val="none"/>
        </w:rPr>
      </w:pPr>
    </w:p>
    <w:p>
      <w:pPr>
        <w:rPr>
          <w:highlight w:val="none"/>
        </w:rPr>
      </w:pPr>
    </w:p>
    <w:p>
      <w:pPr>
        <w:adjustRightInd w:val="0"/>
        <w:snapToGrid w:val="0"/>
        <w:spacing w:line="440" w:lineRule="exact"/>
        <w:ind w:firstLine="420" w:firstLineChars="200"/>
        <w:rPr>
          <w:highlight w:val="none"/>
        </w:rPr>
      </w:pPr>
    </w:p>
    <w:p>
      <w:pPr>
        <w:adjustRightInd w:val="0"/>
        <w:snapToGrid w:val="0"/>
        <w:spacing w:line="20" w:lineRule="exact"/>
        <w:rPr>
          <w:highlight w:val="none"/>
        </w:rPr>
      </w:pPr>
      <w:r>
        <w:rPr>
          <w:highlight w:val="none"/>
        </w:rPr>
        <w:br w:type="page"/>
      </w:r>
    </w:p>
    <w:p>
      <w:pPr>
        <w:adjustRightInd w:val="0"/>
        <w:snapToGrid w:val="0"/>
        <w:spacing w:line="360" w:lineRule="auto"/>
        <w:jc w:val="center"/>
        <w:outlineLvl w:val="0"/>
        <w:rPr>
          <w:rFonts w:hint="eastAsia" w:ascii="黑体" w:hAnsi="黑体" w:eastAsia="黑体" w:cs="黑体"/>
          <w:b w:val="0"/>
          <w:bCs/>
          <w:sz w:val="32"/>
          <w:szCs w:val="32"/>
          <w:highlight w:val="none"/>
        </w:rPr>
      </w:pPr>
      <w:bookmarkStart w:id="4" w:name="_Toc4234"/>
      <w:r>
        <w:rPr>
          <w:rFonts w:hint="eastAsia" w:ascii="黑体" w:hAnsi="黑体" w:eastAsia="黑体" w:cs="黑体"/>
          <w:b w:val="0"/>
          <w:bCs/>
          <w:sz w:val="32"/>
          <w:szCs w:val="32"/>
          <w:highlight w:val="none"/>
        </w:rPr>
        <w:t>第二章  投标须知</w:t>
      </w:r>
      <w:bookmarkEnd w:id="4"/>
    </w:p>
    <w:p>
      <w:pPr>
        <w:adjustRightInd w:val="0"/>
        <w:snapToGrid w:val="0"/>
        <w:spacing w:line="360" w:lineRule="auto"/>
        <w:jc w:val="center"/>
        <w:outlineLvl w:val="1"/>
        <w:rPr>
          <w:rFonts w:hint="eastAsia" w:ascii="黑体" w:hAnsi="黑体" w:eastAsia="黑体" w:cs="黑体"/>
          <w:b w:val="0"/>
          <w:bCs/>
          <w:sz w:val="32"/>
          <w:szCs w:val="32"/>
          <w:highlight w:val="none"/>
        </w:rPr>
      </w:pPr>
      <w:bookmarkStart w:id="5" w:name="_Toc10357"/>
      <w:r>
        <w:rPr>
          <w:rFonts w:hint="eastAsia" w:ascii="黑体" w:hAnsi="黑体" w:eastAsia="黑体" w:cs="黑体"/>
          <w:b w:val="0"/>
          <w:bCs/>
          <w:sz w:val="32"/>
          <w:szCs w:val="32"/>
          <w:highlight w:val="none"/>
        </w:rPr>
        <w:t>一、投标须知前附表</w:t>
      </w:r>
      <w:bookmarkEnd w:id="5"/>
    </w:p>
    <w:tbl>
      <w:tblPr>
        <w:tblStyle w:val="39"/>
        <w:tblW w:w="92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8"/>
        <w:gridCol w:w="990"/>
        <w:gridCol w:w="2129"/>
        <w:gridCol w:w="53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项号</w:t>
            </w:r>
          </w:p>
        </w:tc>
        <w:tc>
          <w:tcPr>
            <w:tcW w:w="990"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条款号</w:t>
            </w:r>
          </w:p>
        </w:tc>
        <w:tc>
          <w:tcPr>
            <w:tcW w:w="2129"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内  容</w:t>
            </w:r>
          </w:p>
        </w:tc>
        <w:tc>
          <w:tcPr>
            <w:tcW w:w="5352"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规       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p>
        </w:tc>
        <w:tc>
          <w:tcPr>
            <w:tcW w:w="990"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w:t>
            </w:r>
          </w:p>
        </w:tc>
        <w:tc>
          <w:tcPr>
            <w:tcW w:w="2129"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标段名称</w:t>
            </w:r>
          </w:p>
        </w:tc>
        <w:tc>
          <w:tcPr>
            <w:tcW w:w="5352"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bCs/>
                <w:kern w:val="0"/>
                <w:sz w:val="21"/>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w:t>
            </w:r>
          </w:p>
        </w:tc>
        <w:tc>
          <w:tcPr>
            <w:tcW w:w="990"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w:t>
            </w:r>
          </w:p>
        </w:tc>
        <w:tc>
          <w:tcPr>
            <w:tcW w:w="2129"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工程地点</w:t>
            </w:r>
          </w:p>
        </w:tc>
        <w:tc>
          <w:tcPr>
            <w:tcW w:w="5352"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bCs/>
                <w:kern w:val="0"/>
                <w:sz w:val="21"/>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w:t>
            </w:r>
          </w:p>
        </w:tc>
        <w:tc>
          <w:tcPr>
            <w:tcW w:w="990"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w:t>
            </w:r>
          </w:p>
        </w:tc>
        <w:tc>
          <w:tcPr>
            <w:tcW w:w="2129"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是否场外工程</w:t>
            </w:r>
          </w:p>
        </w:tc>
        <w:tc>
          <w:tcPr>
            <w:tcW w:w="5352" w:type="dxa"/>
            <w:shd w:val="clear" w:color="auto" w:fill="auto"/>
            <w:vAlign w:val="center"/>
          </w:tcPr>
          <w:p>
            <w:pPr>
              <w:adjustRightInd w:val="0"/>
              <w:snapToGrid w:val="0"/>
              <w:spacing w:line="360" w:lineRule="auto"/>
              <w:rPr>
                <w:rFonts w:hint="eastAsia" w:ascii="宋体" w:hAnsi="宋体" w:eastAsia="宋体" w:cs="宋体"/>
                <w:bCs/>
                <w:kern w:val="0"/>
                <w:sz w:val="21"/>
                <w:szCs w:val="21"/>
                <w:highlight w:val="none"/>
              </w:rPr>
            </w:pPr>
            <w:r>
              <w:rPr>
                <w:rFonts w:hint="eastAsia" w:ascii="宋体" w:hAnsi="宋体" w:eastAsia="宋体" w:cs="宋体"/>
                <w:bCs/>
                <w:kern w:val="0"/>
                <w:sz w:val="21"/>
                <w:szCs w:val="21"/>
                <w:highlight w:val="none"/>
              </w:rPr>
              <w:t>□ 是   □ 否</w:t>
            </w:r>
          </w:p>
          <w:p>
            <w:pPr>
              <w:adjustRightInd w:val="0"/>
              <w:snapToGrid w:val="0"/>
              <w:spacing w:line="360" w:lineRule="auto"/>
              <w:rPr>
                <w:rFonts w:hint="eastAsia" w:ascii="宋体" w:hAnsi="宋体" w:eastAsia="宋体" w:cs="宋体"/>
                <w:bCs/>
                <w:kern w:val="0"/>
                <w:sz w:val="21"/>
                <w:szCs w:val="21"/>
                <w:highlight w:val="none"/>
              </w:rPr>
            </w:pPr>
            <w:r>
              <w:rPr>
                <w:rFonts w:hint="eastAsia" w:ascii="宋体" w:hAnsi="宋体" w:eastAsia="宋体" w:cs="宋体"/>
                <w:bCs/>
                <w:kern w:val="0"/>
                <w:sz w:val="21"/>
                <w:szCs w:val="21"/>
                <w:highlight w:val="none"/>
                <w:lang w:eastAsia="zh-CN"/>
              </w:rPr>
              <w:t>行政监督部门</w:t>
            </w:r>
            <w:r>
              <w:rPr>
                <w:rFonts w:hint="eastAsia" w:ascii="宋体" w:hAnsi="宋体" w:eastAsia="宋体" w:cs="宋体"/>
                <w:bCs/>
                <w:kern w:val="0"/>
                <w:sz w:val="21"/>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w:t>
            </w:r>
          </w:p>
        </w:tc>
        <w:tc>
          <w:tcPr>
            <w:tcW w:w="990"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1.1</w:t>
            </w:r>
          </w:p>
        </w:tc>
        <w:tc>
          <w:tcPr>
            <w:tcW w:w="2129"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工程规模</w:t>
            </w:r>
          </w:p>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及特征</w:t>
            </w:r>
          </w:p>
        </w:tc>
        <w:tc>
          <w:tcPr>
            <w:tcW w:w="5352"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bCs/>
                <w:kern w:val="0"/>
                <w:sz w:val="21"/>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w:t>
            </w:r>
          </w:p>
        </w:tc>
        <w:tc>
          <w:tcPr>
            <w:tcW w:w="990"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2.1</w:t>
            </w:r>
          </w:p>
        </w:tc>
        <w:tc>
          <w:tcPr>
            <w:tcW w:w="2129"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招标范围</w:t>
            </w:r>
          </w:p>
        </w:tc>
        <w:tc>
          <w:tcPr>
            <w:tcW w:w="5352"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bCs/>
                <w:kern w:val="0"/>
                <w:sz w:val="21"/>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6</w:t>
            </w:r>
          </w:p>
        </w:tc>
        <w:tc>
          <w:tcPr>
            <w:tcW w:w="990"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3.1</w:t>
            </w:r>
          </w:p>
        </w:tc>
        <w:tc>
          <w:tcPr>
            <w:tcW w:w="2129"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资金来源</w:t>
            </w:r>
          </w:p>
        </w:tc>
        <w:tc>
          <w:tcPr>
            <w:tcW w:w="5352" w:type="dxa"/>
            <w:shd w:val="clear" w:color="auto" w:fill="auto"/>
            <w:vAlign w:val="center"/>
          </w:tcPr>
          <w:p>
            <w:pPr>
              <w:adjustRightInd w:val="0"/>
              <w:snapToGrid w:val="0"/>
              <w:spacing w:line="360" w:lineRule="auto"/>
              <w:rPr>
                <w:rFonts w:hint="eastAsia" w:ascii="宋体" w:hAnsi="宋体" w:eastAsia="宋体" w:cs="宋体"/>
                <w:b/>
                <w:bCs/>
                <w:kern w:val="0"/>
                <w:sz w:val="21"/>
                <w:szCs w:val="21"/>
                <w:highlight w:val="none"/>
                <w:u w:val="single"/>
              </w:rPr>
            </w:pPr>
            <w:r>
              <w:rPr>
                <w:rFonts w:hint="eastAsia" w:ascii="宋体" w:hAnsi="宋体" w:eastAsia="宋体" w:cs="宋体"/>
                <w:bCs/>
                <w:kern w:val="0"/>
                <w:sz w:val="21"/>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7</w:t>
            </w:r>
          </w:p>
        </w:tc>
        <w:tc>
          <w:tcPr>
            <w:tcW w:w="990"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w:t>
            </w:r>
          </w:p>
        </w:tc>
        <w:tc>
          <w:tcPr>
            <w:tcW w:w="2129"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采用的币种</w:t>
            </w:r>
          </w:p>
        </w:tc>
        <w:tc>
          <w:tcPr>
            <w:tcW w:w="5352"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结合项目选择币种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8</w:t>
            </w:r>
          </w:p>
        </w:tc>
        <w:tc>
          <w:tcPr>
            <w:tcW w:w="990"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4.1</w:t>
            </w:r>
          </w:p>
        </w:tc>
        <w:tc>
          <w:tcPr>
            <w:tcW w:w="2129"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工程质量</w:t>
            </w:r>
          </w:p>
        </w:tc>
        <w:tc>
          <w:tcPr>
            <w:tcW w:w="5352"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bCs/>
                <w:kern w:val="0"/>
                <w:sz w:val="21"/>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9</w:t>
            </w:r>
          </w:p>
        </w:tc>
        <w:tc>
          <w:tcPr>
            <w:tcW w:w="990"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w:t>
            </w:r>
          </w:p>
        </w:tc>
        <w:tc>
          <w:tcPr>
            <w:tcW w:w="2129"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工期要求</w:t>
            </w:r>
          </w:p>
        </w:tc>
        <w:tc>
          <w:tcPr>
            <w:tcW w:w="5352"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10</w:t>
            </w:r>
          </w:p>
        </w:tc>
        <w:tc>
          <w:tcPr>
            <w:tcW w:w="990"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6.1</w:t>
            </w:r>
          </w:p>
        </w:tc>
        <w:tc>
          <w:tcPr>
            <w:tcW w:w="2129"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投标人要求</w:t>
            </w:r>
          </w:p>
        </w:tc>
        <w:tc>
          <w:tcPr>
            <w:tcW w:w="5352"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资质等级:</w:t>
            </w:r>
            <w:r>
              <w:rPr>
                <w:rFonts w:hint="eastAsia" w:ascii="宋体" w:hAnsi="宋体" w:eastAsia="宋体" w:cs="宋体"/>
                <w:bCs/>
                <w:kern w:val="0"/>
                <w:sz w:val="21"/>
                <w:szCs w:val="21"/>
                <w:highlight w:val="none"/>
                <w:u w:val="single"/>
              </w:rPr>
              <w:t xml:space="preserve">      </w:t>
            </w:r>
          </w:p>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联合体投标：□接受    □不接受</w:t>
            </w:r>
          </w:p>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其他：</w:t>
            </w:r>
            <w:r>
              <w:rPr>
                <w:rFonts w:hint="eastAsia" w:ascii="宋体" w:hAnsi="宋体" w:eastAsia="宋体" w:cs="宋体"/>
                <w:kern w:val="0"/>
                <w:sz w:val="21"/>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11</w:t>
            </w:r>
          </w:p>
        </w:tc>
        <w:tc>
          <w:tcPr>
            <w:tcW w:w="990"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7.1</w:t>
            </w:r>
          </w:p>
        </w:tc>
        <w:tc>
          <w:tcPr>
            <w:tcW w:w="2129"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投标人业绩要求</w:t>
            </w:r>
          </w:p>
        </w:tc>
        <w:tc>
          <w:tcPr>
            <w:tcW w:w="5352"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12</w:t>
            </w:r>
          </w:p>
        </w:tc>
        <w:tc>
          <w:tcPr>
            <w:tcW w:w="990"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8.1</w:t>
            </w:r>
          </w:p>
        </w:tc>
        <w:tc>
          <w:tcPr>
            <w:tcW w:w="2129" w:type="dxa"/>
            <w:shd w:val="clear" w:color="auto" w:fill="auto"/>
            <w:vAlign w:val="center"/>
          </w:tcPr>
          <w:p>
            <w:pPr>
              <w:adjustRightInd w:val="0"/>
              <w:snapToGrid w:val="0"/>
              <w:ind w:left="-143" w:leftChars="-68" w:right="-126" w:rightChars="-6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投标人项目经理</w:t>
            </w:r>
          </w:p>
          <w:p>
            <w:pPr>
              <w:adjustRightInd w:val="0"/>
              <w:snapToGrid w:val="0"/>
              <w:ind w:left="-143" w:leftChars="-68" w:right="-126" w:rightChars="-6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（建造师）要求</w:t>
            </w:r>
          </w:p>
        </w:tc>
        <w:tc>
          <w:tcPr>
            <w:tcW w:w="5352" w:type="dxa"/>
            <w:shd w:val="clear" w:color="auto" w:fill="auto"/>
            <w:vAlign w:val="center"/>
          </w:tcPr>
          <w:p>
            <w:pPr>
              <w:adjustRightInd w:val="0"/>
              <w:snapToGrid w:val="0"/>
              <w:spacing w:line="360" w:lineRule="auto"/>
              <w:rPr>
                <w:rFonts w:hint="eastAsia" w:ascii="宋体" w:hAnsi="宋体" w:eastAsia="宋体" w:cs="宋体"/>
                <w:bCs/>
                <w:kern w:val="0"/>
                <w:sz w:val="21"/>
                <w:szCs w:val="21"/>
                <w:highlight w:val="none"/>
                <w:u w:val="single"/>
              </w:rPr>
            </w:pPr>
            <w:r>
              <w:rPr>
                <w:rFonts w:hint="eastAsia" w:ascii="宋体" w:hAnsi="宋体" w:eastAsia="宋体" w:cs="宋体"/>
                <w:bCs/>
                <w:kern w:val="0"/>
                <w:sz w:val="21"/>
                <w:szCs w:val="21"/>
                <w:highlight w:val="none"/>
              </w:rPr>
              <w:t>项目经理：</w:t>
            </w:r>
            <w:r>
              <w:rPr>
                <w:rFonts w:hint="eastAsia" w:ascii="宋体" w:hAnsi="宋体" w:eastAsia="宋体" w:cs="宋体"/>
                <w:bCs/>
                <w:kern w:val="0"/>
                <w:sz w:val="21"/>
                <w:szCs w:val="21"/>
                <w:highlight w:val="none"/>
                <w:u w:val="single"/>
              </w:rPr>
              <w:t xml:space="preserve">      </w:t>
            </w:r>
          </w:p>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其他：</w:t>
            </w:r>
            <w:r>
              <w:rPr>
                <w:rFonts w:hint="eastAsia" w:ascii="宋体" w:hAnsi="宋体" w:eastAsia="宋体" w:cs="宋体"/>
                <w:kern w:val="0"/>
                <w:sz w:val="21"/>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1" w:hRule="atLeast"/>
          <w:jc w:val="center"/>
        </w:trPr>
        <w:tc>
          <w:tcPr>
            <w:tcW w:w="81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13</w:t>
            </w:r>
          </w:p>
        </w:tc>
        <w:tc>
          <w:tcPr>
            <w:tcW w:w="990"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25</w:t>
            </w:r>
          </w:p>
        </w:tc>
        <w:tc>
          <w:tcPr>
            <w:tcW w:w="2129"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资格审查方式</w:t>
            </w:r>
          </w:p>
        </w:tc>
        <w:tc>
          <w:tcPr>
            <w:tcW w:w="5352" w:type="dxa"/>
            <w:shd w:val="clear" w:color="auto" w:fill="auto"/>
            <w:vAlign w:val="center"/>
          </w:tcPr>
          <w:p>
            <w:pPr>
              <w:adjustRightInd w:val="0"/>
              <w:snapToGrid w:val="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14</w:t>
            </w:r>
          </w:p>
        </w:tc>
        <w:tc>
          <w:tcPr>
            <w:tcW w:w="990"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w:t>
            </w:r>
          </w:p>
        </w:tc>
        <w:tc>
          <w:tcPr>
            <w:tcW w:w="2129"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工程量的确定方法</w:t>
            </w:r>
          </w:p>
        </w:tc>
        <w:tc>
          <w:tcPr>
            <w:tcW w:w="5352"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《建设工程工程量清单计价规范》（GB50500-2013）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15</w:t>
            </w:r>
          </w:p>
        </w:tc>
        <w:tc>
          <w:tcPr>
            <w:tcW w:w="990"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w:t>
            </w:r>
          </w:p>
        </w:tc>
        <w:tc>
          <w:tcPr>
            <w:tcW w:w="2129"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工程计价方法</w:t>
            </w:r>
          </w:p>
        </w:tc>
        <w:tc>
          <w:tcPr>
            <w:tcW w:w="5352" w:type="dxa"/>
            <w:shd w:val="clear" w:color="auto" w:fill="auto"/>
            <w:vAlign w:val="center"/>
          </w:tcPr>
          <w:p>
            <w:pPr>
              <w:adjustRightInd w:val="0"/>
              <w:snapToGrid w:val="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综合单价法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16</w:t>
            </w:r>
          </w:p>
        </w:tc>
        <w:tc>
          <w:tcPr>
            <w:tcW w:w="990"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21</w:t>
            </w:r>
          </w:p>
        </w:tc>
        <w:tc>
          <w:tcPr>
            <w:tcW w:w="2129"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投标报价要求</w:t>
            </w:r>
          </w:p>
        </w:tc>
        <w:tc>
          <w:tcPr>
            <w:tcW w:w="5352"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投标报价上限为：</w:t>
            </w:r>
          </w:p>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万元  □公示招标控制价净下浮</w:t>
            </w:r>
            <w:r>
              <w:rPr>
                <w:rFonts w:hint="eastAsia" w:ascii="宋体" w:hAnsi="宋体" w:eastAsia="宋体" w:cs="宋体"/>
                <w:bCs/>
                <w:kern w:val="0"/>
                <w:sz w:val="21"/>
                <w:szCs w:val="21"/>
                <w:highlight w:val="none"/>
                <w:u w:val="single"/>
              </w:rPr>
              <w:t xml:space="preserve">      </w:t>
            </w:r>
            <w:r>
              <w:rPr>
                <w:rFonts w:hint="eastAsia" w:ascii="宋体" w:hAnsi="宋体" w:eastAsia="宋体" w:cs="宋体"/>
                <w:kern w:val="0"/>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8" w:type="dxa"/>
            <w:vMerge w:val="restart"/>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17</w:t>
            </w:r>
          </w:p>
        </w:tc>
        <w:tc>
          <w:tcPr>
            <w:tcW w:w="990" w:type="dxa"/>
            <w:vMerge w:val="restart"/>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23</w:t>
            </w:r>
          </w:p>
        </w:tc>
        <w:tc>
          <w:tcPr>
            <w:tcW w:w="2129" w:type="dxa"/>
            <w:vMerge w:val="restart"/>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投标担保</w:t>
            </w:r>
          </w:p>
        </w:tc>
        <w:tc>
          <w:tcPr>
            <w:tcW w:w="5352"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□投标保证金额:</w:t>
            </w:r>
            <w:r>
              <w:rPr>
                <w:rFonts w:hint="eastAsia" w:ascii="宋体" w:hAnsi="宋体" w:eastAsia="宋体" w:cs="宋体"/>
                <w:bCs/>
                <w:kern w:val="0"/>
                <w:sz w:val="21"/>
                <w:szCs w:val="21"/>
                <w:highlight w:val="none"/>
                <w:u w:val="single"/>
              </w:rPr>
              <w:t xml:space="preserve">      </w:t>
            </w:r>
            <w:r>
              <w:rPr>
                <w:rFonts w:hint="eastAsia" w:ascii="宋体" w:hAnsi="宋体" w:eastAsia="宋体" w:cs="宋体"/>
                <w:kern w:val="0"/>
                <w:sz w:val="21"/>
                <w:szCs w:val="21"/>
                <w:highlight w:val="none"/>
              </w:rPr>
              <w:t>万元</w:t>
            </w:r>
          </w:p>
          <w:p>
            <w:pPr>
              <w:adjustRightInd w:val="0"/>
              <w:snapToGrid w:val="0"/>
              <w:spacing w:line="360" w:lineRule="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□无需提供投标担保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8" w:type="dxa"/>
            <w:vMerge w:val="continue"/>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990" w:type="dxa"/>
            <w:vMerge w:val="continue"/>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2129" w:type="dxa"/>
            <w:vMerge w:val="continue"/>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5352"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担保形式：</w:t>
            </w:r>
          </w:p>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□银行保函（电子保函/纸质保函），由投标人基本账户开户银行所在网点或其上级银行机构出具</w:t>
            </w:r>
          </w:p>
          <w:p>
            <w:pPr>
              <w:adjustRightInd w:val="0"/>
              <w:snapToGrid w:val="0"/>
              <w:spacing w:line="360" w:lineRule="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□保证金（现金/支票），从投标人基本账户汇出</w:t>
            </w:r>
            <w:r>
              <w:rPr>
                <w:rFonts w:hint="eastAsia" w:ascii="宋体" w:hAnsi="宋体" w:eastAsia="宋体" w:cs="宋体"/>
                <w:kern w:val="0"/>
                <w:sz w:val="21"/>
                <w:szCs w:val="21"/>
                <w:highlight w:val="none"/>
                <w:u w:val="single"/>
              </w:rPr>
              <w:t xml:space="preserve">      </w:t>
            </w:r>
          </w:p>
          <w:p>
            <w:pPr>
              <w:adjustRightInd w:val="0"/>
              <w:snapToGrid w:val="0"/>
              <w:spacing w:line="360" w:lineRule="auto"/>
              <w:rPr>
                <w:rFonts w:hint="eastAsia" w:ascii="宋体" w:hAnsi="宋体" w:eastAsia="宋体" w:cs="宋体"/>
                <w:kern w:val="0"/>
                <w:sz w:val="21"/>
                <w:szCs w:val="21"/>
                <w:highlight w:val="none"/>
                <w:u w:val="single"/>
                <w:lang w:val="en-US" w:eastAsia="zh-CN"/>
              </w:rPr>
            </w:pP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eastAsia="zh-CN"/>
              </w:rPr>
              <w:t>保证保险，保费通过投标人基本账户支付</w:t>
            </w:r>
          </w:p>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□其他</w:t>
            </w:r>
            <w:r>
              <w:rPr>
                <w:rFonts w:hint="eastAsia" w:ascii="宋体" w:hAnsi="宋体" w:eastAsia="宋体" w:cs="宋体"/>
                <w:kern w:val="0"/>
                <w:sz w:val="21"/>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18</w:t>
            </w:r>
          </w:p>
        </w:tc>
        <w:tc>
          <w:tcPr>
            <w:tcW w:w="990"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18</w:t>
            </w:r>
          </w:p>
        </w:tc>
        <w:tc>
          <w:tcPr>
            <w:tcW w:w="2129"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投标文件组成</w:t>
            </w:r>
          </w:p>
        </w:tc>
        <w:tc>
          <w:tcPr>
            <w:tcW w:w="5352" w:type="dxa"/>
            <w:shd w:val="clear" w:color="auto" w:fill="auto"/>
            <w:vAlign w:val="center"/>
          </w:tcPr>
          <w:p>
            <w:pPr>
              <w:adjustRightInd w:val="0"/>
              <w:snapToGrid w:val="0"/>
              <w:spacing w:line="360" w:lineRule="auto"/>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电子投标文件组成：</w:t>
            </w:r>
          </w:p>
          <w:p>
            <w:pPr>
              <w:adjustRightInd w:val="0"/>
              <w:snapToGrid w:val="0"/>
              <w:spacing w:line="360" w:lineRule="auto"/>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资格审查文件电子标书1份</w:t>
            </w:r>
          </w:p>
          <w:p>
            <w:pPr>
              <w:adjustRightInd w:val="0"/>
              <w:snapToGrid w:val="0"/>
              <w:spacing w:line="360" w:lineRule="auto"/>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□资信标或资信内容1份</w:t>
            </w:r>
          </w:p>
          <w:p>
            <w:pPr>
              <w:adjustRightInd w:val="0"/>
              <w:snapToGrid w:val="0"/>
              <w:spacing w:line="360" w:lineRule="auto"/>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□商务标部分电子标书1份</w:t>
            </w:r>
          </w:p>
          <w:p>
            <w:pPr>
              <w:adjustRightInd w:val="0"/>
              <w:snapToGrid w:val="0"/>
              <w:spacing w:line="360" w:lineRule="auto"/>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□技术标部分电子标书1份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8" w:type="dxa"/>
            <w:shd w:val="clear" w:color="auto" w:fill="auto"/>
            <w:vAlign w:val="center"/>
          </w:tcPr>
          <w:p>
            <w:pPr>
              <w:adjustRightInd w:val="0"/>
              <w:snapToGrid w:val="0"/>
              <w:jc w:val="center"/>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19</w:t>
            </w:r>
          </w:p>
        </w:tc>
        <w:tc>
          <w:tcPr>
            <w:tcW w:w="990" w:type="dxa"/>
            <w:shd w:val="clear" w:color="auto" w:fill="auto"/>
            <w:vAlign w:val="center"/>
          </w:tcPr>
          <w:p>
            <w:pPr>
              <w:adjustRightInd w:val="0"/>
              <w:snapToGrid w:val="0"/>
              <w:jc w:val="center"/>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w:t>
            </w:r>
          </w:p>
        </w:tc>
        <w:tc>
          <w:tcPr>
            <w:tcW w:w="2129" w:type="dxa"/>
            <w:shd w:val="clear" w:color="auto" w:fill="auto"/>
            <w:vAlign w:val="center"/>
          </w:tcPr>
          <w:p>
            <w:pPr>
              <w:adjustRightInd w:val="0"/>
              <w:snapToGrid w:val="0"/>
              <w:jc w:val="center"/>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eastAsia="zh-CN"/>
              </w:rPr>
              <w:t>是否有</w:t>
            </w:r>
            <w:r>
              <w:rPr>
                <w:rFonts w:hint="eastAsia" w:ascii="宋体" w:hAnsi="宋体" w:eastAsia="宋体" w:cs="宋体"/>
                <w:kern w:val="0"/>
                <w:sz w:val="21"/>
                <w:szCs w:val="21"/>
                <w:highlight w:val="none"/>
                <w:lang w:val="en-US" w:eastAsia="zh-CN"/>
              </w:rPr>
              <w:t>危险性较大的分部分项工程</w:t>
            </w:r>
          </w:p>
        </w:tc>
        <w:tc>
          <w:tcPr>
            <w:tcW w:w="5352" w:type="dxa"/>
            <w:shd w:val="clear" w:color="auto" w:fill="auto"/>
            <w:vAlign w:val="center"/>
          </w:tcPr>
          <w:p>
            <w:pPr>
              <w:adjustRightInd w:val="0"/>
              <w:snapToGrid w:val="0"/>
              <w:spacing w:line="360" w:lineRule="auto"/>
              <w:jc w:val="left"/>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eastAsia="zh-CN"/>
              </w:rPr>
              <w:t>是</w:t>
            </w:r>
            <w:r>
              <w:rPr>
                <w:rFonts w:hint="eastAsia" w:ascii="宋体" w:hAnsi="宋体" w:eastAsia="宋体" w:cs="宋体"/>
                <w:kern w:val="0"/>
                <w:sz w:val="21"/>
                <w:szCs w:val="21"/>
                <w:highlight w:val="none"/>
                <w:lang w:val="en-US" w:eastAsia="zh-CN"/>
              </w:rPr>
              <w:t xml:space="preserve">    </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eastAsia="zh-CN"/>
              </w:rPr>
              <w:t>否</w:t>
            </w:r>
          </w:p>
          <w:p>
            <w:pPr>
              <w:adjustRightInd w:val="0"/>
              <w:snapToGrid w:val="0"/>
              <w:spacing w:line="360" w:lineRule="auto"/>
              <w:jc w:val="left"/>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注：1.危险性较大的分部分项工程（以下简称危大工程）范围详见《广东省住房和城乡建设厅关于印发房屋市政工程危险性较大的分部分项工程安全管理实施细则的通知》（粤建规范〔2019〕2号）；</w:t>
            </w:r>
          </w:p>
          <w:p>
            <w:pPr>
              <w:adjustRightInd w:val="0"/>
              <w:snapToGrid w:val="0"/>
              <w:spacing w:line="360" w:lineRule="auto"/>
              <w:jc w:val="left"/>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2.如是，招标人</w:t>
            </w:r>
            <w:r>
              <w:rPr>
                <w:rFonts w:hint="eastAsia" w:ascii="宋体" w:hAnsi="宋体" w:eastAsia="宋体" w:cs="宋体"/>
                <w:color w:val="auto"/>
                <w:kern w:val="0"/>
                <w:sz w:val="21"/>
                <w:szCs w:val="21"/>
                <w:highlight w:val="none"/>
                <w:lang w:val="en-US" w:eastAsia="zh-CN"/>
              </w:rPr>
              <w:t>应</w:t>
            </w:r>
            <w:r>
              <w:rPr>
                <w:rFonts w:hint="eastAsia" w:ascii="宋体" w:hAnsi="宋体" w:eastAsia="宋体" w:cs="宋体"/>
                <w:kern w:val="0"/>
                <w:sz w:val="21"/>
                <w:szCs w:val="21"/>
                <w:highlight w:val="none"/>
                <w:lang w:val="en-US" w:eastAsia="zh-CN"/>
              </w:rPr>
              <w:t>填写《危大工程清单》（详见第九章投标文件格式--技术标编写目录及要求）；投标人根据工程实际特点，在技术标中补充完善危大工程清单并明确相应的安全管理措施。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8" w:type="dxa"/>
            <w:shd w:val="clear" w:color="auto" w:fill="auto"/>
            <w:vAlign w:val="center"/>
          </w:tcPr>
          <w:p>
            <w:pPr>
              <w:adjustRightInd w:val="0"/>
              <w:snapToGrid w:val="0"/>
              <w:jc w:val="center"/>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20</w:t>
            </w:r>
          </w:p>
        </w:tc>
        <w:tc>
          <w:tcPr>
            <w:tcW w:w="990"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9.1</w:t>
            </w:r>
          </w:p>
        </w:tc>
        <w:tc>
          <w:tcPr>
            <w:tcW w:w="2129"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踏勘现场</w:t>
            </w:r>
          </w:p>
        </w:tc>
        <w:tc>
          <w:tcPr>
            <w:tcW w:w="5352" w:type="dxa"/>
            <w:shd w:val="clear" w:color="auto" w:fill="auto"/>
            <w:vAlign w:val="center"/>
          </w:tcPr>
          <w:p>
            <w:pPr>
              <w:adjustRightInd w:val="0"/>
              <w:snapToGrid w:val="0"/>
              <w:spacing w:line="360" w:lineRule="auto"/>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详细地点：</w:t>
            </w:r>
            <w:r>
              <w:rPr>
                <w:rFonts w:hint="eastAsia" w:ascii="宋体" w:hAnsi="宋体" w:eastAsia="宋体" w:cs="宋体"/>
                <w:bCs/>
                <w:kern w:val="0"/>
                <w:sz w:val="21"/>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8" w:type="dxa"/>
            <w:shd w:val="clear" w:color="auto" w:fill="auto"/>
            <w:vAlign w:val="center"/>
          </w:tcPr>
          <w:p>
            <w:pPr>
              <w:adjustRightInd w:val="0"/>
              <w:snapToGrid w:val="0"/>
              <w:jc w:val="center"/>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21</w:t>
            </w:r>
          </w:p>
        </w:tc>
        <w:tc>
          <w:tcPr>
            <w:tcW w:w="990"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10.1</w:t>
            </w:r>
          </w:p>
        </w:tc>
        <w:tc>
          <w:tcPr>
            <w:tcW w:w="2129"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公布招标控制价、投标报价上限地址</w:t>
            </w:r>
          </w:p>
        </w:tc>
        <w:tc>
          <w:tcPr>
            <w:tcW w:w="5352" w:type="dxa"/>
            <w:shd w:val="clear" w:color="auto" w:fill="auto"/>
            <w:vAlign w:val="center"/>
          </w:tcPr>
          <w:p>
            <w:pPr>
              <w:adjustRightInd w:val="0"/>
              <w:snapToGrid w:val="0"/>
              <w:spacing w:line="360" w:lineRule="auto"/>
              <w:jc w:val="left"/>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网址：</w:t>
            </w:r>
            <w:r>
              <w:rPr>
                <w:rFonts w:hint="eastAsia" w:ascii="宋体" w:hAnsi="宋体" w:eastAsia="宋体" w:cs="宋体"/>
                <w:color w:val="FF0000"/>
                <w:kern w:val="0"/>
                <w:sz w:val="21"/>
                <w:szCs w:val="21"/>
                <w:highlight w:val="none"/>
                <w:lang w:val="en-US" w:eastAsia="zh-CN"/>
              </w:rPr>
              <w:t>深圳公共资源交易网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8" w:type="dxa"/>
            <w:shd w:val="clear" w:color="auto" w:fill="auto"/>
            <w:vAlign w:val="center"/>
          </w:tcPr>
          <w:p>
            <w:pPr>
              <w:adjustRightInd w:val="0"/>
              <w:snapToGrid w:val="0"/>
              <w:jc w:val="center"/>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22</w:t>
            </w:r>
          </w:p>
        </w:tc>
        <w:tc>
          <w:tcPr>
            <w:tcW w:w="990"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24</w:t>
            </w:r>
          </w:p>
        </w:tc>
        <w:tc>
          <w:tcPr>
            <w:tcW w:w="2129"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投标文件递交</w:t>
            </w:r>
          </w:p>
        </w:tc>
        <w:tc>
          <w:tcPr>
            <w:tcW w:w="5352" w:type="dxa"/>
            <w:shd w:val="clear" w:color="auto" w:fill="auto"/>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地点：</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w:t>
            </w:r>
          </w:p>
          <w:p>
            <w:pPr>
              <w:adjustRightInd w:val="0"/>
              <w:snapToGrid w:val="0"/>
              <w:spacing w:line="360" w:lineRule="auto"/>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截止时间：</w:t>
            </w:r>
            <w:r>
              <w:rPr>
                <w:rFonts w:hint="eastAsia" w:ascii="宋体" w:hAnsi="宋体" w:eastAsia="宋体" w:cs="宋体"/>
                <w:kern w:val="0"/>
                <w:sz w:val="21"/>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8" w:type="dxa"/>
            <w:shd w:val="clear" w:color="auto" w:fill="auto"/>
            <w:vAlign w:val="center"/>
          </w:tcPr>
          <w:p>
            <w:pPr>
              <w:adjustRightInd w:val="0"/>
              <w:snapToGrid w:val="0"/>
              <w:jc w:val="center"/>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2</w:t>
            </w:r>
            <w:r>
              <w:rPr>
                <w:rFonts w:hint="eastAsia" w:ascii="宋体" w:hAnsi="宋体" w:eastAsia="宋体" w:cs="宋体"/>
                <w:kern w:val="0"/>
                <w:sz w:val="21"/>
                <w:szCs w:val="21"/>
                <w:highlight w:val="none"/>
                <w:lang w:val="en-US" w:eastAsia="zh-CN"/>
              </w:rPr>
              <w:t>3</w:t>
            </w:r>
          </w:p>
        </w:tc>
        <w:tc>
          <w:tcPr>
            <w:tcW w:w="990"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22</w:t>
            </w:r>
          </w:p>
        </w:tc>
        <w:tc>
          <w:tcPr>
            <w:tcW w:w="2129"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投标有效期</w:t>
            </w:r>
          </w:p>
        </w:tc>
        <w:tc>
          <w:tcPr>
            <w:tcW w:w="5352" w:type="dxa"/>
            <w:shd w:val="clear" w:color="auto" w:fill="auto"/>
            <w:vAlign w:val="center"/>
          </w:tcPr>
          <w:p>
            <w:pPr>
              <w:adjustRightInd w:val="0"/>
              <w:snapToGrid w:val="0"/>
              <w:spacing w:line="360" w:lineRule="auto"/>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8" w:type="dxa"/>
            <w:shd w:val="clear" w:color="auto" w:fill="auto"/>
            <w:vAlign w:val="center"/>
          </w:tcPr>
          <w:p>
            <w:pPr>
              <w:adjustRightInd w:val="0"/>
              <w:snapToGrid w:val="0"/>
              <w:jc w:val="center"/>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2</w:t>
            </w:r>
            <w:r>
              <w:rPr>
                <w:rFonts w:hint="eastAsia" w:ascii="宋体" w:hAnsi="宋体" w:eastAsia="宋体" w:cs="宋体"/>
                <w:kern w:val="0"/>
                <w:sz w:val="21"/>
                <w:szCs w:val="21"/>
                <w:highlight w:val="none"/>
                <w:lang w:val="en-US" w:eastAsia="zh-CN"/>
              </w:rPr>
              <w:t>4</w:t>
            </w:r>
          </w:p>
        </w:tc>
        <w:tc>
          <w:tcPr>
            <w:tcW w:w="990"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w:t>
            </w:r>
          </w:p>
        </w:tc>
        <w:tc>
          <w:tcPr>
            <w:tcW w:w="2129"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招标会议时间</w:t>
            </w:r>
          </w:p>
        </w:tc>
        <w:tc>
          <w:tcPr>
            <w:tcW w:w="5352" w:type="dxa"/>
            <w:shd w:val="clear" w:color="auto" w:fill="auto"/>
            <w:vAlign w:val="center"/>
          </w:tcPr>
          <w:p>
            <w:pPr>
              <w:adjustRightInd w:val="0"/>
              <w:snapToGrid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资审会、开标会、评标会、定标会议时间及地点，在交易网进行查询。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3" w:hRule="atLeast"/>
          <w:jc w:val="center"/>
        </w:trPr>
        <w:tc>
          <w:tcPr>
            <w:tcW w:w="818" w:type="dxa"/>
            <w:vMerge w:val="restart"/>
            <w:shd w:val="clear" w:color="auto" w:fill="auto"/>
            <w:vAlign w:val="center"/>
          </w:tcPr>
          <w:p>
            <w:pPr>
              <w:adjustRightInd w:val="0"/>
              <w:snapToGrid w:val="0"/>
              <w:jc w:val="center"/>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2</w:t>
            </w:r>
            <w:r>
              <w:rPr>
                <w:rFonts w:hint="eastAsia" w:ascii="宋体" w:hAnsi="宋体" w:eastAsia="宋体" w:cs="宋体"/>
                <w:kern w:val="0"/>
                <w:sz w:val="21"/>
                <w:szCs w:val="21"/>
                <w:highlight w:val="none"/>
                <w:lang w:val="en-US" w:eastAsia="zh-CN"/>
              </w:rPr>
              <w:t>5</w:t>
            </w:r>
          </w:p>
        </w:tc>
        <w:tc>
          <w:tcPr>
            <w:tcW w:w="990" w:type="dxa"/>
            <w:vMerge w:val="restart"/>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26.6</w:t>
            </w:r>
          </w:p>
        </w:tc>
        <w:tc>
          <w:tcPr>
            <w:tcW w:w="2129" w:type="dxa"/>
            <w:vMerge w:val="restart"/>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过多投标人淘汰</w:t>
            </w:r>
          </w:p>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环节（资格审查合格的投标人＞20名）</w:t>
            </w:r>
          </w:p>
        </w:tc>
        <w:tc>
          <w:tcPr>
            <w:tcW w:w="5352"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资格审查合格的投标人＞20名时，经淘汰进入后续招标程序的投标人为15至20名，具体数量产生方式为：</w:t>
            </w:r>
          </w:p>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□由计算机随机产生</w:t>
            </w:r>
          </w:p>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□招标人自行确定：</w:t>
            </w:r>
            <w:r>
              <w:rPr>
                <w:rFonts w:hint="eastAsia" w:ascii="宋体" w:hAnsi="宋体" w:eastAsia="宋体" w:cs="宋体"/>
                <w:kern w:val="0"/>
                <w:sz w:val="21"/>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2" w:hRule="atLeast"/>
          <w:jc w:val="center"/>
        </w:trPr>
        <w:tc>
          <w:tcPr>
            <w:tcW w:w="818" w:type="dxa"/>
            <w:vMerge w:val="continue"/>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990" w:type="dxa"/>
            <w:vMerge w:val="continue"/>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2129" w:type="dxa"/>
            <w:vMerge w:val="continue"/>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5352"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过多投标人淘汰方式：</w:t>
            </w:r>
          </w:p>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□直接票决  □逐轮票决  □逐轮淘汰</w:t>
            </w:r>
          </w:p>
          <w:p>
            <w:pPr>
              <w:adjustRightInd w:val="0"/>
              <w:snapToGrid w:val="0"/>
              <w:spacing w:line="360" w:lineRule="auto"/>
              <w:ind w:firstLine="420" w:firstLineChars="20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计算规则（采用直接票决或逐轮票决的）：</w:t>
            </w:r>
          </w:p>
          <w:p>
            <w:pPr>
              <w:adjustRightInd w:val="0"/>
              <w:snapToGrid w:val="0"/>
              <w:spacing w:line="360" w:lineRule="auto"/>
              <w:ind w:firstLine="420" w:firstLineChars="20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□简单多数。当被淘汰最后一名有并列情况以至超过应淘汰投标人数时，对此并列的投标人采取如下确定方式：</w:t>
            </w:r>
          </w:p>
          <w:p>
            <w:pPr>
              <w:adjustRightInd w:val="0"/>
              <w:snapToGrid w:val="0"/>
              <w:spacing w:line="360" w:lineRule="auto"/>
              <w:ind w:firstLine="1050" w:firstLineChars="50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□抽签入围</w:t>
            </w:r>
          </w:p>
          <w:p>
            <w:pPr>
              <w:adjustRightInd w:val="0"/>
              <w:snapToGrid w:val="0"/>
              <w:spacing w:line="360" w:lineRule="auto"/>
              <w:ind w:firstLine="1050" w:firstLineChars="50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□递交投标文件时间靠前者入围</w:t>
            </w:r>
          </w:p>
          <w:p>
            <w:pPr>
              <w:adjustRightInd w:val="0"/>
              <w:snapToGrid w:val="0"/>
              <w:spacing w:line="360" w:lineRule="auto"/>
              <w:ind w:firstLine="1050" w:firstLineChars="50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□继续票决，再重票则随机抽签</w:t>
            </w:r>
          </w:p>
          <w:p>
            <w:pPr>
              <w:adjustRightInd w:val="0"/>
              <w:snapToGrid w:val="0"/>
              <w:spacing w:line="360" w:lineRule="auto"/>
              <w:ind w:firstLine="1050" w:firstLineChars="50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□继续票决</w:t>
            </w:r>
          </w:p>
          <w:p>
            <w:pPr>
              <w:adjustRightInd w:val="0"/>
              <w:snapToGrid w:val="0"/>
              <w:spacing w:line="360" w:lineRule="auto"/>
              <w:ind w:firstLine="630" w:firstLineChars="30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□对比胜出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2" w:hRule="atLeast"/>
          <w:jc w:val="center"/>
        </w:trPr>
        <w:tc>
          <w:tcPr>
            <w:tcW w:w="818" w:type="dxa"/>
            <w:vMerge w:val="continue"/>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990" w:type="dxa"/>
            <w:vMerge w:val="continue"/>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2129" w:type="dxa"/>
            <w:vMerge w:val="continue"/>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5352"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□本项目不进行过多投标人淘汰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2" w:hRule="atLeast"/>
          <w:jc w:val="center"/>
        </w:trPr>
        <w:tc>
          <w:tcPr>
            <w:tcW w:w="818" w:type="dxa"/>
            <w:shd w:val="clear" w:color="auto" w:fill="auto"/>
            <w:vAlign w:val="center"/>
          </w:tcPr>
          <w:p>
            <w:pPr>
              <w:adjustRightInd w:val="0"/>
              <w:snapToGrid w:val="0"/>
              <w:jc w:val="center"/>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2</w:t>
            </w:r>
            <w:r>
              <w:rPr>
                <w:rFonts w:hint="eastAsia" w:ascii="宋体" w:hAnsi="宋体" w:eastAsia="宋体" w:cs="宋体"/>
                <w:kern w:val="0"/>
                <w:sz w:val="21"/>
                <w:szCs w:val="21"/>
                <w:highlight w:val="none"/>
                <w:lang w:val="en-US" w:eastAsia="zh-CN"/>
              </w:rPr>
              <w:t>6</w:t>
            </w:r>
          </w:p>
        </w:tc>
        <w:tc>
          <w:tcPr>
            <w:tcW w:w="990"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28.1</w:t>
            </w:r>
          </w:p>
        </w:tc>
        <w:tc>
          <w:tcPr>
            <w:tcW w:w="2129"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评标方法及标准</w:t>
            </w:r>
          </w:p>
        </w:tc>
        <w:tc>
          <w:tcPr>
            <w:tcW w:w="5352"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定性评审法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8" w:type="dxa"/>
            <w:shd w:val="clear" w:color="auto" w:fill="auto"/>
            <w:vAlign w:val="center"/>
          </w:tcPr>
          <w:p>
            <w:pPr>
              <w:adjustRightInd w:val="0"/>
              <w:snapToGrid w:val="0"/>
              <w:jc w:val="center"/>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2</w:t>
            </w:r>
            <w:r>
              <w:rPr>
                <w:rFonts w:hint="eastAsia" w:ascii="宋体" w:hAnsi="宋体" w:eastAsia="宋体" w:cs="宋体"/>
                <w:kern w:val="0"/>
                <w:sz w:val="21"/>
                <w:szCs w:val="21"/>
                <w:highlight w:val="none"/>
                <w:lang w:val="en-US" w:eastAsia="zh-CN"/>
              </w:rPr>
              <w:t>7</w:t>
            </w:r>
          </w:p>
        </w:tc>
        <w:tc>
          <w:tcPr>
            <w:tcW w:w="990"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w:t>
            </w:r>
          </w:p>
        </w:tc>
        <w:tc>
          <w:tcPr>
            <w:tcW w:w="2129"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评标地点</w:t>
            </w:r>
          </w:p>
        </w:tc>
        <w:tc>
          <w:tcPr>
            <w:tcW w:w="5352" w:type="dxa"/>
            <w:shd w:val="clear" w:color="auto" w:fill="auto"/>
            <w:vAlign w:val="center"/>
          </w:tcPr>
          <w:p>
            <w:pPr>
              <w:adjustRightInd w:val="0"/>
              <w:snapToGrid w:val="0"/>
              <w:spacing w:line="360" w:lineRule="auto"/>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交易场所评标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8" w:type="dxa"/>
            <w:shd w:val="clear" w:color="auto" w:fill="auto"/>
            <w:vAlign w:val="center"/>
          </w:tcPr>
          <w:p>
            <w:pPr>
              <w:adjustRightInd w:val="0"/>
              <w:snapToGrid w:val="0"/>
              <w:jc w:val="center"/>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2</w:t>
            </w:r>
            <w:r>
              <w:rPr>
                <w:rFonts w:hint="eastAsia" w:ascii="宋体" w:hAnsi="宋体" w:eastAsia="宋体" w:cs="宋体"/>
                <w:kern w:val="0"/>
                <w:sz w:val="21"/>
                <w:szCs w:val="21"/>
                <w:highlight w:val="none"/>
                <w:lang w:val="en-US" w:eastAsia="zh-CN"/>
              </w:rPr>
              <w:t>8</w:t>
            </w:r>
          </w:p>
        </w:tc>
        <w:tc>
          <w:tcPr>
            <w:tcW w:w="990"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29.1</w:t>
            </w:r>
          </w:p>
        </w:tc>
        <w:tc>
          <w:tcPr>
            <w:tcW w:w="2129"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评标委员会</w:t>
            </w:r>
          </w:p>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的人员组成</w:t>
            </w:r>
          </w:p>
        </w:tc>
        <w:tc>
          <w:tcPr>
            <w:tcW w:w="5352" w:type="dxa"/>
            <w:shd w:val="clear" w:color="auto" w:fill="auto"/>
            <w:vAlign w:val="center"/>
          </w:tcPr>
          <w:p>
            <w:pPr>
              <w:adjustRightInd w:val="0"/>
              <w:snapToGrid w:val="0"/>
              <w:spacing w:line="360" w:lineRule="auto"/>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由招标人依法组建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8" w:type="dxa"/>
            <w:shd w:val="clear" w:color="auto" w:fill="auto"/>
            <w:vAlign w:val="center"/>
          </w:tcPr>
          <w:p>
            <w:pPr>
              <w:adjustRightInd w:val="0"/>
              <w:snapToGrid w:val="0"/>
              <w:jc w:val="center"/>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2</w:t>
            </w:r>
            <w:r>
              <w:rPr>
                <w:rFonts w:hint="eastAsia" w:ascii="宋体" w:hAnsi="宋体" w:eastAsia="宋体" w:cs="宋体"/>
                <w:kern w:val="0"/>
                <w:sz w:val="21"/>
                <w:szCs w:val="21"/>
                <w:highlight w:val="none"/>
                <w:lang w:val="en-US" w:eastAsia="zh-CN"/>
              </w:rPr>
              <w:t>9</w:t>
            </w:r>
          </w:p>
        </w:tc>
        <w:tc>
          <w:tcPr>
            <w:tcW w:w="990"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41</w:t>
            </w:r>
          </w:p>
        </w:tc>
        <w:tc>
          <w:tcPr>
            <w:tcW w:w="2129"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定标方法</w:t>
            </w:r>
          </w:p>
        </w:tc>
        <w:tc>
          <w:tcPr>
            <w:tcW w:w="5352" w:type="dxa"/>
            <w:shd w:val="clear" w:color="auto" w:fill="auto"/>
            <w:vAlign w:val="center"/>
          </w:tcPr>
          <w:p>
            <w:pPr>
              <w:adjustRightInd w:val="0"/>
              <w:snapToGrid w:val="0"/>
              <w:spacing w:line="360" w:lineRule="auto"/>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□票决定标（□直接票决定标 □逐轮票决定标）。</w:t>
            </w:r>
          </w:p>
          <w:p>
            <w:pPr>
              <w:adjustRightInd w:val="0"/>
              <w:snapToGrid w:val="0"/>
              <w:spacing w:line="360" w:lineRule="auto"/>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□票决抽签定标：票决</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名投标人后，以随机抽签方式确定中标人。</w:t>
            </w:r>
          </w:p>
          <w:p>
            <w:pPr>
              <w:adjustRightInd w:val="0"/>
              <w:snapToGrid w:val="0"/>
              <w:spacing w:line="360" w:lineRule="auto"/>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□集体议事法</w:t>
            </w:r>
          </w:p>
          <w:p>
            <w:pPr>
              <w:adjustRightInd w:val="0"/>
              <w:snapToGrid w:val="0"/>
              <w:spacing w:line="360" w:lineRule="auto"/>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□价格法  确定中标人价格的方式：</w:t>
            </w:r>
            <w:r>
              <w:rPr>
                <w:rFonts w:hint="eastAsia" w:ascii="宋体" w:hAnsi="宋体" w:eastAsia="宋体" w:cs="宋体"/>
                <w:kern w:val="0"/>
                <w:sz w:val="21"/>
                <w:szCs w:val="21"/>
                <w:highlight w:val="none"/>
                <w:u w:val="single"/>
              </w:rPr>
              <w:t xml:space="preserve">      </w:t>
            </w:r>
          </w:p>
          <w:p>
            <w:pPr>
              <w:adjustRightInd w:val="0"/>
              <w:snapToGrid w:val="0"/>
              <w:spacing w:line="360" w:lineRule="auto"/>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其它方法：</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9" w:hRule="atLeast"/>
          <w:jc w:val="center"/>
        </w:trPr>
        <w:tc>
          <w:tcPr>
            <w:tcW w:w="818" w:type="dxa"/>
            <w:vMerge w:val="restart"/>
            <w:shd w:val="clear" w:color="auto" w:fill="auto"/>
            <w:vAlign w:val="center"/>
          </w:tcPr>
          <w:p>
            <w:pPr>
              <w:adjustRightInd w:val="0"/>
              <w:snapToGrid w:val="0"/>
              <w:jc w:val="center"/>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30</w:t>
            </w:r>
          </w:p>
        </w:tc>
        <w:tc>
          <w:tcPr>
            <w:tcW w:w="990" w:type="dxa"/>
            <w:vMerge w:val="restart"/>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49.1</w:t>
            </w:r>
          </w:p>
        </w:tc>
        <w:tc>
          <w:tcPr>
            <w:tcW w:w="2129" w:type="dxa"/>
            <w:vMerge w:val="restart"/>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yellow"/>
              </w:rPr>
              <w:t>履约担保</w:t>
            </w:r>
          </w:p>
        </w:tc>
        <w:tc>
          <w:tcPr>
            <w:tcW w:w="5352"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金额：</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5" w:hRule="atLeast"/>
          <w:jc w:val="center"/>
        </w:trPr>
        <w:tc>
          <w:tcPr>
            <w:tcW w:w="818" w:type="dxa"/>
            <w:vMerge w:val="continue"/>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990" w:type="dxa"/>
            <w:vMerge w:val="continue"/>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2129" w:type="dxa"/>
            <w:vMerge w:val="continue"/>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5352" w:type="dxa"/>
            <w:shd w:val="clear" w:color="auto" w:fill="auto"/>
            <w:vAlign w:val="center"/>
          </w:tcPr>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担保形式：</w:t>
            </w:r>
          </w:p>
          <w:p>
            <w:pPr>
              <w:adjustRightInd w:val="0"/>
              <w:snapToGrid w:val="0"/>
              <w:spacing w:line="360" w:lineRule="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□银行</w:t>
            </w:r>
            <w:r>
              <w:rPr>
                <w:rFonts w:hint="eastAsia" w:ascii="宋体" w:hAnsi="宋体" w:eastAsia="宋体" w:cs="宋体"/>
                <w:kern w:val="0"/>
                <w:sz w:val="21"/>
                <w:szCs w:val="21"/>
                <w:highlight w:val="none"/>
                <w:lang w:val="en-US" w:eastAsia="zh-CN"/>
              </w:rPr>
              <w:t xml:space="preserve">保函 </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lang w:val="en-US" w:eastAsia="zh-CN"/>
              </w:rPr>
              <w:t xml:space="preserve">保证保险 </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val="en-US" w:eastAsia="zh-CN"/>
              </w:rPr>
              <w:t xml:space="preserve">专业工程担保公司担保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7" w:hRule="atLeast"/>
          <w:jc w:val="center"/>
        </w:trPr>
        <w:tc>
          <w:tcPr>
            <w:tcW w:w="818" w:type="dxa"/>
            <w:vMerge w:val="restart"/>
            <w:shd w:val="clear" w:color="auto" w:fill="auto"/>
            <w:vAlign w:val="center"/>
          </w:tcPr>
          <w:p>
            <w:pPr>
              <w:adjustRightInd w:val="0"/>
              <w:snapToGrid w:val="0"/>
              <w:jc w:val="center"/>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31</w:t>
            </w:r>
          </w:p>
        </w:tc>
        <w:tc>
          <w:tcPr>
            <w:tcW w:w="990" w:type="dxa"/>
            <w:vMerge w:val="restart"/>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49.2</w:t>
            </w:r>
          </w:p>
        </w:tc>
        <w:tc>
          <w:tcPr>
            <w:tcW w:w="2129" w:type="dxa"/>
            <w:vMerge w:val="restart"/>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yellow"/>
              </w:rPr>
              <w:t>支付担保</w:t>
            </w:r>
          </w:p>
        </w:tc>
        <w:tc>
          <w:tcPr>
            <w:tcW w:w="5352" w:type="dxa"/>
            <w:shd w:val="clear" w:color="auto" w:fill="auto"/>
            <w:vAlign w:val="center"/>
          </w:tcPr>
          <w:p>
            <w:pPr>
              <w:adjustRightInd w:val="0"/>
              <w:snapToGrid w:val="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金额：</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jc w:val="center"/>
        </w:trPr>
        <w:tc>
          <w:tcPr>
            <w:tcW w:w="818" w:type="dxa"/>
            <w:vMerge w:val="continue"/>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990" w:type="dxa"/>
            <w:vMerge w:val="continue"/>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2129" w:type="dxa"/>
            <w:vMerge w:val="continue"/>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5352" w:type="dxa"/>
            <w:shd w:val="clear" w:color="auto" w:fill="auto"/>
            <w:vAlign w:val="center"/>
          </w:tcPr>
          <w:p>
            <w:pPr>
              <w:adjustRightInd w:val="0"/>
              <w:snapToGrid w:val="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担保形式：</w:t>
            </w:r>
          </w:p>
          <w:p>
            <w:pPr>
              <w:adjustRightInd w:val="0"/>
              <w:snapToGrid w:val="0"/>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□银行</w:t>
            </w:r>
            <w:r>
              <w:rPr>
                <w:rFonts w:hint="eastAsia" w:ascii="宋体" w:hAnsi="宋体" w:eastAsia="宋体" w:cs="宋体"/>
                <w:kern w:val="0"/>
                <w:sz w:val="21"/>
                <w:szCs w:val="21"/>
                <w:highlight w:val="none"/>
                <w:lang w:val="en-US" w:eastAsia="zh-CN"/>
              </w:rPr>
              <w:t xml:space="preserve">保函 </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lang w:val="en-US" w:eastAsia="zh-CN"/>
              </w:rPr>
              <w:t xml:space="preserve">保证保险 </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val="en-US" w:eastAsia="zh-CN"/>
              </w:rPr>
              <w:t xml:space="preserve">专业工程担保公司担保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8" w:type="dxa"/>
            <w:shd w:val="clear" w:color="auto" w:fill="auto"/>
            <w:vAlign w:val="center"/>
          </w:tcPr>
          <w:p>
            <w:pPr>
              <w:adjustRightInd w:val="0"/>
              <w:snapToGrid w:val="0"/>
              <w:spacing w:line="360" w:lineRule="auto"/>
              <w:jc w:val="center"/>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3</w:t>
            </w:r>
            <w:r>
              <w:rPr>
                <w:rFonts w:hint="eastAsia" w:ascii="宋体" w:hAnsi="宋体" w:eastAsia="宋体" w:cs="宋体"/>
                <w:kern w:val="0"/>
                <w:sz w:val="21"/>
                <w:szCs w:val="21"/>
                <w:highlight w:val="none"/>
                <w:lang w:val="en-US" w:eastAsia="zh-CN"/>
              </w:rPr>
              <w:t>2</w:t>
            </w:r>
          </w:p>
        </w:tc>
        <w:tc>
          <w:tcPr>
            <w:tcW w:w="990" w:type="dxa"/>
            <w:shd w:val="clear" w:color="auto" w:fill="auto"/>
            <w:vAlign w:val="center"/>
          </w:tcPr>
          <w:p>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46.1</w:t>
            </w:r>
          </w:p>
          <w:p>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48.1</w:t>
            </w:r>
          </w:p>
        </w:tc>
        <w:tc>
          <w:tcPr>
            <w:tcW w:w="2129" w:type="dxa"/>
            <w:shd w:val="clear" w:color="auto" w:fill="auto"/>
            <w:vAlign w:val="center"/>
          </w:tcPr>
          <w:p>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发出中标通知书及</w:t>
            </w:r>
          </w:p>
          <w:p>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签订合同</w:t>
            </w:r>
          </w:p>
        </w:tc>
        <w:tc>
          <w:tcPr>
            <w:tcW w:w="5352" w:type="dxa"/>
            <w:shd w:val="clear" w:color="auto" w:fill="auto"/>
            <w:vAlign w:val="center"/>
          </w:tcPr>
          <w:p>
            <w:pPr>
              <w:adjustRightInd w:val="0"/>
              <w:snapToGrid w:val="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中标结果公示期满后30日内（因投诉暂停的除外）。</w:t>
            </w: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宋体" w:hAnsi="宋体" w:eastAsia="宋体" w:cs="宋体"/>
          <w:szCs w:val="21"/>
          <w:highlight w:val="none"/>
        </w:rPr>
      </w:pPr>
      <w:r>
        <w:rPr>
          <w:rFonts w:hint="eastAsia" w:ascii="宋体" w:hAnsi="宋体" w:eastAsia="宋体" w:cs="宋体"/>
          <w:szCs w:val="21"/>
          <w:highlight w:val="none"/>
        </w:rPr>
        <w:t>备注：此前附表中的“条款号”相对应“三、招投标须知正文”中的条款，条款内容作为补充规定及注释，招标人及投标人应仔细阅读并参照执行。</w:t>
      </w:r>
    </w:p>
    <w:p>
      <w:pPr>
        <w:spacing w:line="20" w:lineRule="exact"/>
        <w:rPr>
          <w:highlight w:val="none"/>
        </w:rPr>
      </w:pPr>
      <w:r>
        <w:rPr>
          <w:highlight w:val="none"/>
        </w:rPr>
        <w:br w:type="page"/>
      </w:r>
    </w:p>
    <w:p>
      <w:pPr>
        <w:adjustRightInd w:val="0"/>
        <w:snapToGrid w:val="0"/>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（一）招标工程情况介绍</w:t>
      </w:r>
    </w:p>
    <w:p>
      <w:pPr>
        <w:adjustRightInd w:val="0"/>
        <w:snapToGrid w:val="0"/>
        <w:spacing w:line="360" w:lineRule="auto"/>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（提示招标人：本章节为必填内容，招标人应当如实详细填写，并作为投标、评标的重要参考。如因招标人未填写或未如实填写本章节内容，造成的不利后果应由招标人承担。）</w:t>
      </w:r>
    </w:p>
    <w:p>
      <w:pPr>
        <w:adjustRightInd w:val="0"/>
        <w:snapToGrid w:val="0"/>
        <w:spacing w:line="360" w:lineRule="auto"/>
        <w:ind w:firstLine="422" w:firstLineChars="200"/>
        <w:rPr>
          <w:rFonts w:hint="eastAsia" w:ascii="宋体" w:hAnsi="宋体" w:eastAsia="宋体" w:cs="宋体"/>
          <w:b/>
          <w:sz w:val="21"/>
          <w:szCs w:val="21"/>
          <w:highlight w:val="none"/>
        </w:rPr>
      </w:pPr>
      <w:r>
        <w:rPr>
          <w:rFonts w:hint="eastAsia" w:ascii="宋体" w:hAnsi="宋体" w:eastAsia="宋体" w:cs="宋体"/>
          <w:b/>
          <w:sz w:val="21"/>
          <w:szCs w:val="21"/>
          <w:highlight w:val="none"/>
        </w:rPr>
        <w:t>一、工程概况、工程规模、结构型式的介绍</w:t>
      </w:r>
    </w:p>
    <w:p>
      <w:pPr>
        <w:tabs>
          <w:tab w:val="left" w:pos="720"/>
        </w:tabs>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1.工程地址：</w:t>
      </w:r>
    </w:p>
    <w:p>
      <w:pPr>
        <w:adjustRightInd w:val="0"/>
        <w:snapToGrid w:val="0"/>
        <w:spacing w:line="360" w:lineRule="auto"/>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single"/>
        </w:rPr>
        <w:t xml:space="preserve">      </w:t>
      </w:r>
    </w:p>
    <w:p>
      <w:pPr>
        <w:tabs>
          <w:tab w:val="left" w:pos="720"/>
        </w:tabs>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2.工程规模：</w:t>
      </w:r>
    </w:p>
    <w:p>
      <w:pPr>
        <w:adjustRightInd w:val="0"/>
        <w:snapToGrid w:val="0"/>
        <w:spacing w:line="360" w:lineRule="auto"/>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single"/>
        </w:rPr>
        <w:t xml:space="preserve">      </w:t>
      </w:r>
    </w:p>
    <w:p>
      <w:pPr>
        <w:tabs>
          <w:tab w:val="left" w:pos="720"/>
        </w:tabs>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 工期、质量及安全文明施工要求：</w:t>
      </w:r>
    </w:p>
    <w:p>
      <w:pPr>
        <w:adjustRightInd w:val="0"/>
        <w:snapToGrid w:val="0"/>
        <w:spacing w:line="360" w:lineRule="auto"/>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single"/>
        </w:rPr>
        <w:t xml:space="preserve">      </w:t>
      </w:r>
    </w:p>
    <w:p>
      <w:pPr>
        <w:tabs>
          <w:tab w:val="left" w:pos="720"/>
        </w:tabs>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4.现场条件及周围环境情况：</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p>
    <w:p>
      <w:pPr>
        <w:tabs>
          <w:tab w:val="left" w:pos="720"/>
        </w:tabs>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5.工程地质情况：</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p>
    <w:p>
      <w:pPr>
        <w:tabs>
          <w:tab w:val="left" w:pos="720"/>
        </w:tabs>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6.工程主要部位特征：</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p>
    <w:p>
      <w:pPr>
        <w:tabs>
          <w:tab w:val="left" w:pos="720"/>
        </w:tabs>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7.其它：</w:t>
      </w:r>
    </w:p>
    <w:p>
      <w:pPr>
        <w:tabs>
          <w:tab w:val="left" w:pos="720"/>
        </w:tabs>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p>
    <w:p>
      <w:pPr>
        <w:adjustRightInd w:val="0"/>
        <w:snapToGrid w:val="0"/>
        <w:spacing w:line="360" w:lineRule="auto"/>
        <w:ind w:firstLine="422" w:firstLineChars="200"/>
        <w:rPr>
          <w:rFonts w:hint="eastAsia" w:ascii="宋体" w:hAnsi="宋体" w:eastAsia="宋体" w:cs="宋体"/>
          <w:b/>
          <w:sz w:val="21"/>
          <w:szCs w:val="21"/>
          <w:highlight w:val="none"/>
        </w:rPr>
      </w:pPr>
      <w:r>
        <w:rPr>
          <w:rFonts w:hint="eastAsia" w:ascii="宋体" w:hAnsi="宋体" w:eastAsia="宋体" w:cs="宋体"/>
          <w:b/>
          <w:sz w:val="21"/>
          <w:szCs w:val="21"/>
          <w:highlight w:val="none"/>
        </w:rPr>
        <w:t>二、工程主要特点、技术要求、施工重点和难点、施工采用的新方法、新工艺和新材料等内容的介绍</w:t>
      </w:r>
    </w:p>
    <w:p>
      <w:pPr>
        <w:tabs>
          <w:tab w:val="left" w:pos="720"/>
        </w:tabs>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p>
    <w:p>
      <w:pPr>
        <w:adjustRightInd w:val="0"/>
        <w:snapToGrid w:val="0"/>
        <w:spacing w:line="360" w:lineRule="auto"/>
        <w:ind w:firstLine="422" w:firstLineChars="200"/>
        <w:rPr>
          <w:rFonts w:hint="eastAsia" w:ascii="宋体" w:hAnsi="宋体" w:eastAsia="宋体" w:cs="宋体"/>
          <w:b/>
          <w:sz w:val="21"/>
          <w:szCs w:val="21"/>
          <w:highlight w:val="none"/>
        </w:rPr>
      </w:pPr>
    </w:p>
    <w:p>
      <w:pPr>
        <w:adjustRightInd w:val="0"/>
        <w:snapToGrid w:val="0"/>
        <w:spacing w:line="360" w:lineRule="auto"/>
        <w:ind w:firstLine="422" w:firstLineChars="200"/>
        <w:rPr>
          <w:rFonts w:hint="eastAsia" w:ascii="宋体" w:hAnsi="宋体" w:eastAsia="宋体" w:cs="宋体"/>
          <w:b/>
          <w:sz w:val="21"/>
          <w:szCs w:val="21"/>
          <w:highlight w:val="none"/>
        </w:rPr>
      </w:pPr>
      <w:r>
        <w:rPr>
          <w:rFonts w:hint="eastAsia" w:ascii="宋体" w:hAnsi="宋体" w:eastAsia="宋体" w:cs="宋体"/>
          <w:b/>
          <w:sz w:val="21"/>
          <w:szCs w:val="21"/>
          <w:highlight w:val="none"/>
        </w:rPr>
        <w:t>三、与《招标文件》示范文本有较大变动的评标方法及主要条款的介绍</w:t>
      </w:r>
    </w:p>
    <w:p>
      <w:pPr>
        <w:tabs>
          <w:tab w:val="left" w:pos="720"/>
        </w:tabs>
        <w:adjustRightInd w:val="0"/>
        <w:snapToGrid w:val="0"/>
        <w:spacing w:line="360" w:lineRule="auto"/>
        <w:ind w:firstLine="420" w:firstLineChars="200"/>
        <w:rPr>
          <w:b/>
          <w:sz w:val="21"/>
          <w:szCs w:val="21"/>
          <w:highlight w:val="none"/>
          <w:u w:val="single"/>
        </w:rPr>
      </w:pPr>
      <w:r>
        <w:rPr>
          <w:rFonts w:hint="eastAsia" w:ascii="宋体" w:hAnsi="宋体" w:eastAsia="宋体" w:cs="宋体"/>
          <w:sz w:val="21"/>
          <w:szCs w:val="21"/>
          <w:highlight w:val="none"/>
        </w:rPr>
        <w:t>详见招标文件第三章。</w:t>
      </w:r>
      <w:r>
        <w:rPr>
          <w:sz w:val="21"/>
          <w:szCs w:val="21"/>
          <w:highlight w:val="none"/>
        </w:rPr>
        <w:br w:type="page"/>
      </w:r>
    </w:p>
    <w:p>
      <w:pPr>
        <w:adjustRightInd w:val="0"/>
        <w:snapToGrid w:val="0"/>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（二）招标投标分段限时投诉的规定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Cs/>
          <w:sz w:val="21"/>
          <w:szCs w:val="21"/>
          <w:highlight w:val="none"/>
        </w:rPr>
      </w:pPr>
      <w:r>
        <w:rPr>
          <w:rFonts w:hint="eastAsia" w:ascii="宋体" w:hAnsi="宋体" w:eastAsia="宋体" w:cs="宋体"/>
          <w:bCs/>
          <w:sz w:val="21"/>
          <w:szCs w:val="21"/>
          <w:highlight w:val="none"/>
        </w:rPr>
        <w:t>深圳市工程建设项目招标投标实行招标人负责制。招标人应当依法处理异议，配合行政监督部门处理投诉。市、区（含新区）建设行政主管部门以及其他有关行政监督部门按照职责分工和监管权限，受理和处理工程建设项目招标投标投诉，对工程建设项目招标投标的异议处理进行监督。</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Cs/>
          <w:sz w:val="21"/>
          <w:szCs w:val="21"/>
          <w:highlight w:val="none"/>
        </w:rPr>
      </w:pPr>
      <w:r>
        <w:rPr>
          <w:rFonts w:hint="eastAsia" w:ascii="宋体" w:hAnsi="宋体" w:eastAsia="宋体" w:cs="宋体"/>
          <w:bCs/>
          <w:sz w:val="21"/>
          <w:szCs w:val="21"/>
          <w:highlight w:val="none"/>
        </w:rPr>
        <w:t>投标人或者其他利害关系人认为招标投标活动不符合法律、法规和规章规定的，可以依法向招标人提出异议，或者向有关行政监督部门投诉，但就《中华人民共和国招标投标法实施条例》第二十二条、第四十四条、第五十四条规定事项进行投诉的，应当依法先向招标人提出异议。异议和投诉分别按照“书面、限时、实名”的原则进行处理。招标投标活动异议和投诉的提出期限以及处理，具体见《关于建设工程招标投标改革的若干规定》（深府【2015】73号）、《深圳市工程建设项目招标投标活动异议和投诉处理办法》（深建规【2020】16号）的规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Cs/>
          <w:sz w:val="21"/>
          <w:szCs w:val="21"/>
          <w:highlight w:val="none"/>
        </w:rPr>
      </w:pPr>
      <w:r>
        <w:rPr>
          <w:rFonts w:hint="eastAsia" w:ascii="宋体" w:hAnsi="宋体" w:eastAsia="宋体" w:cs="宋体"/>
          <w:bCs/>
          <w:sz w:val="21"/>
          <w:szCs w:val="21"/>
          <w:highlight w:val="none"/>
        </w:rPr>
        <w:t>我市已建立全市统一的工程建设项目招标投标活动异议和投诉处理电子平台（http://zjj.sz.gov.cn/jsjd/web/index），对相关异议或者投诉的受理，以及答复或者处理决定的告知和公开，均在电子平台上进行，异议和投诉处理的往来资料均在电子平台永久保存。招标投标当事人及其他利害关系人凭数字证书直接登录电子平台提出异议或者投诉，跟踪处理进程，签收异议答复函和投诉处理决定书。</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bCs/>
          <w:szCs w:val="21"/>
          <w:highlight w:val="none"/>
        </w:rPr>
      </w:pPr>
      <w:r>
        <w:rPr>
          <w:bCs/>
          <w:szCs w:val="21"/>
          <w:highlight w:val="none"/>
        </w:rPr>
        <w:br w:type="page"/>
      </w:r>
    </w:p>
    <w:p>
      <w:pPr>
        <w:adjustRightInd w:val="0"/>
        <w:snapToGrid w:val="0"/>
        <w:spacing w:line="360" w:lineRule="auto"/>
        <w:jc w:val="center"/>
        <w:outlineLvl w:val="1"/>
        <w:rPr>
          <w:rFonts w:hint="eastAsia" w:ascii="黑体" w:hAnsi="黑体" w:eastAsia="黑体" w:cs="黑体"/>
          <w:b w:val="0"/>
          <w:bCs/>
          <w:sz w:val="32"/>
          <w:szCs w:val="32"/>
          <w:highlight w:val="none"/>
        </w:rPr>
      </w:pPr>
      <w:bookmarkStart w:id="6" w:name="_Toc28395"/>
      <w:r>
        <w:rPr>
          <w:rFonts w:hint="eastAsia" w:ascii="黑体" w:hAnsi="黑体" w:eastAsia="黑体" w:cs="黑体"/>
          <w:b w:val="0"/>
          <w:bCs/>
          <w:color w:val="000000"/>
          <w:sz w:val="32"/>
          <w:szCs w:val="32"/>
          <w:highlight w:val="none"/>
        </w:rPr>
        <w:t>二、投标文件否决性条款</w:t>
      </w:r>
      <w:bookmarkEnd w:id="6"/>
    </w:p>
    <w:p>
      <w:pPr>
        <w:adjustRightInd w:val="0"/>
        <w:snapToGrid w:val="0"/>
        <w:spacing w:line="360" w:lineRule="auto"/>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【提示招标人】</w:t>
      </w:r>
      <w:r>
        <w:rPr>
          <w:rFonts w:hint="eastAsia" w:ascii="宋体" w:hAnsi="宋体" w:eastAsia="宋体" w:cs="宋体"/>
          <w:bCs/>
          <w:sz w:val="21"/>
          <w:szCs w:val="21"/>
          <w:highlight w:val="none"/>
        </w:rPr>
        <w:t>如招标文件的澄清、答疑、补充文件中增加否决性条款的，招标人应当重新编写本章节内容，将新增否决性条款列入本章节，并发布新的完整的《投标文件否决性条款》。否则，增加的否决性条款无效。</w:t>
      </w:r>
    </w:p>
    <w:p>
      <w:pPr>
        <w:adjustRightInd w:val="0"/>
        <w:snapToGrid w:val="0"/>
        <w:spacing w:line="360" w:lineRule="auto"/>
        <w:ind w:firstLine="422" w:firstLineChars="200"/>
        <w:rPr>
          <w:rFonts w:hint="eastAsia" w:ascii="宋体" w:hAnsi="宋体" w:eastAsia="宋体" w:cs="宋体"/>
          <w:bCs/>
          <w:sz w:val="21"/>
          <w:szCs w:val="21"/>
          <w:highlight w:val="none"/>
        </w:rPr>
      </w:pPr>
      <w:r>
        <w:rPr>
          <w:rFonts w:hint="eastAsia" w:ascii="宋体" w:hAnsi="宋体" w:eastAsia="宋体" w:cs="宋体"/>
          <w:b/>
          <w:bCs/>
          <w:sz w:val="21"/>
          <w:szCs w:val="21"/>
          <w:highlight w:val="none"/>
        </w:rPr>
        <w:t>【提示投标人和评标委员会】</w:t>
      </w:r>
      <w:r>
        <w:rPr>
          <w:rFonts w:hint="eastAsia" w:ascii="宋体" w:hAnsi="宋体" w:eastAsia="宋体" w:cs="宋体"/>
          <w:bCs/>
          <w:sz w:val="21"/>
          <w:szCs w:val="21"/>
          <w:highlight w:val="none"/>
        </w:rPr>
        <w:t>本章节是本工程招标文件（含招标文件的澄清、补充文件等）中涉及的所有否决性条款，否决性条款包括：招标文件不予受理（开标阶段）、无效标（初步评审）、废标（详细评审）条款。除出现以下情形外，投标文件的其他任何情形均不得作否决处理。招标文件中有关否决性条款的阐述与本章节不一致的，以本章节内容为准。</w:t>
      </w:r>
    </w:p>
    <w:p>
      <w:pPr>
        <w:adjustRightInd w:val="0"/>
        <w:snapToGrid w:val="0"/>
        <w:spacing w:line="360" w:lineRule="auto"/>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（一）开标阶段不予受理的情形：（由招标人或其委派人员负责判定）</w:t>
      </w:r>
    </w:p>
    <w:p>
      <w:pPr>
        <w:adjustRightInd w:val="0"/>
        <w:snapToGrid w:val="0"/>
        <w:spacing w:line="360" w:lineRule="auto"/>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1.</w:t>
      </w:r>
      <w:r>
        <w:rPr>
          <w:rFonts w:hint="eastAsia" w:ascii="宋体" w:hAnsi="宋体" w:eastAsia="宋体" w:cs="宋体"/>
          <w:sz w:val="21"/>
          <w:szCs w:val="21"/>
          <w:highlight w:val="none"/>
        </w:rPr>
        <w:t>逾期提交投标文件的；</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2.资格审查不合格的；</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bCs/>
          <w:sz w:val="21"/>
          <w:szCs w:val="21"/>
          <w:highlight w:val="none"/>
        </w:rPr>
        <w:t>3.</w:t>
      </w:r>
      <w:r>
        <w:rPr>
          <w:rFonts w:hint="eastAsia" w:ascii="宋体" w:hAnsi="宋体" w:eastAsia="宋体" w:cs="宋体"/>
          <w:sz w:val="21"/>
          <w:szCs w:val="21"/>
          <w:highlight w:val="none"/>
        </w:rPr>
        <w:t>投标文件中各电子投标文件未加签有效数字证书；</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bCs/>
          <w:sz w:val="21"/>
          <w:szCs w:val="21"/>
          <w:highlight w:val="none"/>
        </w:rPr>
        <w:t>4.</w:t>
      </w:r>
      <w:r>
        <w:rPr>
          <w:rFonts w:hint="eastAsia" w:ascii="宋体" w:hAnsi="宋体" w:eastAsia="宋体" w:cs="宋体"/>
          <w:sz w:val="21"/>
          <w:szCs w:val="21"/>
          <w:highlight w:val="none"/>
        </w:rPr>
        <w:t>投标文件的投标报价高于公布招标控制价或投标报价上限的；</w:t>
      </w:r>
    </w:p>
    <w:p>
      <w:pPr>
        <w:adjustRightInd w:val="0"/>
        <w:snapToGrid w:val="0"/>
        <w:spacing w:line="360" w:lineRule="auto"/>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5.投标文件承诺的工期超过招标文件中工期要求的；</w:t>
      </w:r>
    </w:p>
    <w:p>
      <w:pPr>
        <w:adjustRightInd w:val="0"/>
        <w:snapToGrid w:val="0"/>
        <w:spacing w:line="360" w:lineRule="auto"/>
        <w:ind w:firstLine="420" w:firstLineChars="200"/>
        <w:rPr>
          <w:rFonts w:hint="eastAsia" w:ascii="宋体" w:hAnsi="宋体" w:eastAsia="宋体" w:cs="宋体"/>
          <w:bCs/>
          <w:sz w:val="21"/>
          <w:szCs w:val="21"/>
          <w:highlight w:val="none"/>
        </w:rPr>
      </w:pPr>
      <w:r>
        <w:rPr>
          <w:rFonts w:hint="eastAsia" w:ascii="宋体" w:hAnsi="宋体" w:eastAsia="宋体" w:cs="宋体"/>
          <w:sz w:val="21"/>
          <w:szCs w:val="21"/>
          <w:highlight w:val="none"/>
        </w:rPr>
        <w:t>6.项目经理（建造师）被建设行政主管部门给予红色警示且在警示期内的；</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7.投标人提交的电子标书格式不符合招标文件要求或开标后无法在交易平台读取导入的；</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8.组成联合体投标时，未提交联合体共同投标协议书的；</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9.联合体各方在同一招标项目中以自己名义单独投标或者参加其他联合体投标的；</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10.相互间有直接控股关系或法定代表人为同一人的两个或两个以上的法人提交投标文件的，在资格审查阶段，当部分相关单位自愿退出后仍有两家或两家以上要求继续进入后续招投标环节的；</w:t>
      </w:r>
    </w:p>
    <w:p>
      <w:pPr>
        <w:adjustRightInd w:val="0"/>
        <w:snapToGrid w:val="0"/>
        <w:spacing w:line="360" w:lineRule="auto"/>
        <w:ind w:firstLine="420" w:firstLineChars="200"/>
        <w:rPr>
          <w:rFonts w:hint="eastAsia" w:ascii="宋体" w:hAnsi="宋体" w:eastAsia="宋体" w:cs="宋体"/>
          <w:bCs/>
          <w:sz w:val="21"/>
          <w:szCs w:val="21"/>
          <w:highlight w:val="none"/>
          <w:u w:val="single"/>
        </w:rPr>
      </w:pPr>
      <w:r>
        <w:rPr>
          <w:rFonts w:hint="eastAsia" w:ascii="宋体" w:hAnsi="宋体" w:eastAsia="宋体" w:cs="宋体"/>
          <w:sz w:val="21"/>
          <w:szCs w:val="21"/>
          <w:highlight w:val="none"/>
        </w:rPr>
        <w:t>11.</w:t>
      </w:r>
      <w:r>
        <w:rPr>
          <w:rFonts w:hint="eastAsia" w:ascii="宋体" w:hAnsi="宋体" w:eastAsia="宋体" w:cs="宋体"/>
          <w:bCs/>
          <w:sz w:val="21"/>
          <w:szCs w:val="21"/>
          <w:highlight w:val="none"/>
        </w:rPr>
        <w:t>未按招标文件要求提交投标担保的；</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12.</w:t>
      </w:r>
      <w:r>
        <w:rPr>
          <w:rFonts w:hint="eastAsia" w:ascii="宋体" w:hAnsi="宋体" w:eastAsia="宋体" w:cs="宋体"/>
          <w:bCs/>
          <w:sz w:val="21"/>
          <w:szCs w:val="21"/>
          <w:highlight w:val="none"/>
        </w:rPr>
        <w:t>投标人或相关人员具有下列情形之一的：</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12.1近3年内（从招标公告发布之日起倒算）投标人或者其法定代表人有行贿犯罪记录的；</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12.2近1年内（从截标之日起倒算）因串通投标、转包、以他人名义投标或者违法分包等违法行为受到建设、交通或者财政部门行政处罚的；</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12.3因违反工程质量、安全生产管理规定等原因被建设部门给予红色警示且在警示期内的；</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12.4拖欠工人工资被有关部门责令改正而未改正的；</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12.5依法应当拒绝投标的其他情形；</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□本次招标下述12.6至12.9条款生效（勾选生效）：</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12.6被建设或者交通部门信用评价为红色且正处在信用评价结果公示期内的；</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12.7近3年内（从截标之日起倒算）曾被本项目招标人履约评价为不合格的；</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12.8近2年内（从截标之日起倒算）曾有放弃中标资格、拒不签订合同、拒不提供履约担保情形的；</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12.9因违反工程质量、安全生产管理规定，或者因串通投标、转包、以他人名义投标或者违法分包等违法行为，正在接受建设、交通或者财政部门立案调查的。</w:t>
      </w:r>
    </w:p>
    <w:p>
      <w:pPr>
        <w:adjustRightInd w:val="0"/>
        <w:snapToGrid w:val="0"/>
        <w:spacing w:line="360" w:lineRule="auto"/>
        <w:ind w:firstLine="422" w:firstLineChars="200"/>
        <w:rPr>
          <w:rFonts w:hint="eastAsia" w:ascii="宋体" w:hAnsi="宋体" w:eastAsia="宋体" w:cs="宋体"/>
          <w:sz w:val="21"/>
          <w:szCs w:val="21"/>
          <w:highlight w:val="none"/>
        </w:rPr>
      </w:pPr>
      <w:r>
        <w:rPr>
          <w:rFonts w:hint="eastAsia" w:ascii="宋体" w:hAnsi="宋体" w:eastAsia="宋体" w:cs="宋体"/>
          <w:b/>
          <w:sz w:val="21"/>
          <w:szCs w:val="21"/>
          <w:highlight w:val="none"/>
        </w:rPr>
        <w:t>（二）评标阶段有关无效标的情形：</w:t>
      </w:r>
      <w:r>
        <w:rPr>
          <w:rFonts w:hint="eastAsia" w:ascii="宋体" w:hAnsi="宋体" w:eastAsia="宋体" w:cs="宋体"/>
          <w:b/>
          <w:bCs/>
          <w:sz w:val="21"/>
          <w:szCs w:val="21"/>
          <w:highlight w:val="none"/>
        </w:rPr>
        <w:t>（由评标委员会负责判定）</w:t>
      </w:r>
    </w:p>
    <w:p>
      <w:pPr>
        <w:adjustRightInd w:val="0"/>
        <w:snapToGrid w:val="0"/>
        <w:spacing w:line="360" w:lineRule="auto"/>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1.计算机评标系统对电子标书进行自动清标分析，出现下列情形之一的</w:t>
      </w:r>
      <w:r>
        <w:rPr>
          <w:rFonts w:hint="eastAsia" w:ascii="宋体" w:hAnsi="宋体" w:eastAsia="宋体" w:cs="宋体"/>
          <w:sz w:val="21"/>
          <w:szCs w:val="21"/>
          <w:highlight w:val="none"/>
        </w:rPr>
        <w:t>：</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1.1投标人的清单和招标文件清单不一致情形的；</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1.2投标报价中擅自修改招标文件（包括补遗文件、招标控制价文件）中规定不可竞争的固定单价或合价的，如安全文明措施费、专业工程暂估价、材料设备暂估价、优质优价奖励费等；</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1.3投标报价中规费取费超过现行《深圳市建设工程计价费率标准》的费率参考范围的；</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2.投标人以他人的名义投标或出现下列串通投标、弄虚作假投标嫌疑情形之一的：</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2.1投标人在投标文件商务标书上电子签名的造价工程师与其他投标人在投标文件商务标书上电子签名的造价工程师为同一人的；</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2.2不同投标人的投标文件内容存在非正常一致的；</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2.3不同投标人的投标文件错漏之处一致的；</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2.4不同投标人的投标报价或者报价组成异常一致或者呈规律性变化的；</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2.5不同投标人的投标文件由同一单位或者同一个人编制的；</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2.6不同投标人的投标文件载明的项目管理</w:t>
      </w:r>
      <w:r>
        <w:rPr>
          <w:rFonts w:hint="eastAsia" w:ascii="宋体" w:hAnsi="宋体" w:eastAsia="宋体" w:cs="宋体"/>
          <w:sz w:val="21"/>
          <w:szCs w:val="21"/>
          <w:highlight w:val="yellow"/>
          <w:lang w:val="en-US" w:eastAsia="zh-CN"/>
        </w:rPr>
        <w:t>机构</w:t>
      </w:r>
      <w:r>
        <w:rPr>
          <w:rFonts w:hint="eastAsia" w:ascii="宋体" w:hAnsi="宋体" w:eastAsia="宋体" w:cs="宋体"/>
          <w:sz w:val="21"/>
          <w:szCs w:val="21"/>
          <w:highlight w:val="none"/>
        </w:rPr>
        <w:t>成员出现同一人的；</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2.7不同投标人的投标文件相互混装的；</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2.8不同投标人的投标文件由同一台电脑编制的；</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2.9 </w:t>
      </w:r>
      <w:r>
        <w:rPr>
          <w:rFonts w:hint="eastAsia" w:ascii="宋体" w:hAnsi="宋体" w:eastAsia="宋体" w:cs="宋体"/>
          <w:color w:val="000000"/>
          <w:sz w:val="21"/>
          <w:szCs w:val="21"/>
          <w:highlight w:val="none"/>
        </w:rPr>
        <w:t>不</w:t>
      </w:r>
      <w:r>
        <w:rPr>
          <w:rFonts w:hint="eastAsia" w:ascii="宋体" w:hAnsi="宋体" w:eastAsia="宋体" w:cs="宋体"/>
          <w:sz w:val="21"/>
          <w:szCs w:val="21"/>
          <w:highlight w:val="none"/>
        </w:rPr>
        <w:t>同投标人聘请同一人为其投标提供技术或者经济咨询服务的，但招标工程本身要求采用专有技术的除外；</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2.10评标委员会认定的其他串通投标情形；</w:t>
      </w:r>
    </w:p>
    <w:p>
      <w:pPr>
        <w:tabs>
          <w:tab w:val="left" w:pos="6285"/>
        </w:tabs>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3、投标人资格条件不符合国家有关规定和招标文件要求的；</w:t>
      </w:r>
    </w:p>
    <w:p>
      <w:pPr>
        <w:tabs>
          <w:tab w:val="left" w:pos="6285"/>
        </w:tabs>
        <w:adjustRightInd w:val="0"/>
        <w:snapToGrid w:val="0"/>
        <w:spacing w:line="360" w:lineRule="auto"/>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（三）评标阶段有关废标的情形：（由评标委员会负责判定）</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1、投标文件中存在明显不符合技术规范、技术标准、工程量清单计价规范强制性条文内容的；</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2、技术标经评标委员会评审为不合格的；</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3、投标人拒不按照评标委员会要求对投标文件进行澄清、说明、补正的；</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4、投标人未承诺按照《深圳市建设工程安全文明施工标准》实施安全文明施工和信息化管理要求的；</w:t>
      </w:r>
    </w:p>
    <w:p>
      <w:pPr>
        <w:adjustRightInd w:val="0"/>
        <w:snapToGrid w:val="0"/>
        <w:spacing w:line="360" w:lineRule="auto"/>
        <w:ind w:firstLine="422" w:firstLineChars="200"/>
        <w:rPr>
          <w:rFonts w:hint="eastAsia" w:ascii="宋体" w:hAnsi="宋体" w:eastAsia="宋体" w:cs="宋体"/>
          <w:b/>
          <w:sz w:val="21"/>
          <w:szCs w:val="21"/>
          <w:highlight w:val="none"/>
        </w:rPr>
      </w:pPr>
      <w:r>
        <w:rPr>
          <w:rFonts w:hint="eastAsia" w:ascii="宋体" w:hAnsi="宋体" w:eastAsia="宋体" w:cs="宋体"/>
          <w:b/>
          <w:sz w:val="21"/>
          <w:szCs w:val="21"/>
          <w:highlight w:val="none"/>
        </w:rPr>
        <w:t>（招标人对上述内容有修改或补充的，以下述条款为准）</w:t>
      </w:r>
    </w:p>
    <w:p>
      <w:pPr>
        <w:adjustRightInd w:val="0"/>
        <w:snapToGrid w:val="0"/>
        <w:spacing w:line="360" w:lineRule="auto"/>
        <w:ind w:firstLine="422" w:firstLineChars="200"/>
        <w:rPr>
          <w:rFonts w:hint="eastAsia" w:ascii="宋体" w:hAnsi="宋体" w:eastAsia="宋体" w:cs="宋体"/>
          <w:b/>
          <w:sz w:val="21"/>
          <w:szCs w:val="21"/>
          <w:highlight w:val="none"/>
        </w:rPr>
      </w:pPr>
      <w:r>
        <w:rPr>
          <w:rFonts w:hint="eastAsia" w:ascii="宋体" w:hAnsi="宋体" w:eastAsia="宋体" w:cs="宋体"/>
          <w:b/>
          <w:sz w:val="21"/>
          <w:szCs w:val="21"/>
          <w:highlight w:val="none"/>
        </w:rPr>
        <w:t>（四）招标人补充的投标文件不予受理的情形：</w:t>
      </w:r>
    </w:p>
    <w:p>
      <w:pPr>
        <w:adjustRightInd w:val="0"/>
        <w:snapToGrid w:val="0"/>
        <w:spacing w:line="360" w:lineRule="auto"/>
        <w:ind w:firstLine="420" w:firstLineChars="200"/>
        <w:rPr>
          <w:rFonts w:hint="eastAsia" w:ascii="宋体" w:hAnsi="宋体" w:eastAsia="宋体" w:cs="宋体"/>
          <w:b/>
          <w:sz w:val="21"/>
          <w:szCs w:val="21"/>
          <w:highlight w:val="none"/>
        </w:rPr>
      </w:pPr>
      <w:r>
        <w:rPr>
          <w:rFonts w:hint="eastAsia" w:ascii="宋体" w:hAnsi="宋体" w:eastAsia="宋体" w:cs="宋体"/>
          <w:sz w:val="21"/>
          <w:szCs w:val="21"/>
          <w:highlight w:val="none"/>
          <w:u w:val="single"/>
        </w:rPr>
        <w:t xml:space="preserve">      </w:t>
      </w:r>
    </w:p>
    <w:p>
      <w:pPr>
        <w:adjustRightInd w:val="0"/>
        <w:snapToGrid w:val="0"/>
        <w:spacing w:line="360" w:lineRule="auto"/>
        <w:ind w:firstLine="422" w:firstLineChars="200"/>
        <w:rPr>
          <w:rFonts w:hint="eastAsia" w:ascii="宋体" w:hAnsi="宋体" w:eastAsia="宋体" w:cs="宋体"/>
          <w:b/>
          <w:sz w:val="21"/>
          <w:szCs w:val="21"/>
          <w:highlight w:val="none"/>
        </w:rPr>
      </w:pPr>
      <w:r>
        <w:rPr>
          <w:rFonts w:hint="eastAsia" w:ascii="宋体" w:hAnsi="宋体" w:eastAsia="宋体" w:cs="宋体"/>
          <w:b/>
          <w:sz w:val="21"/>
          <w:szCs w:val="21"/>
          <w:highlight w:val="none"/>
        </w:rPr>
        <w:t>（五）招标人补充的无效标情形：</w:t>
      </w:r>
    </w:p>
    <w:p>
      <w:pPr>
        <w:adjustRightInd w:val="0"/>
        <w:snapToGrid w:val="0"/>
        <w:spacing w:line="360" w:lineRule="auto"/>
        <w:ind w:firstLine="420" w:firstLineChars="200"/>
        <w:rPr>
          <w:rFonts w:hint="eastAsia" w:ascii="宋体" w:hAnsi="宋体" w:eastAsia="宋体" w:cs="宋体"/>
          <w:b/>
          <w:sz w:val="21"/>
          <w:szCs w:val="21"/>
          <w:highlight w:val="none"/>
        </w:rPr>
      </w:pPr>
      <w:r>
        <w:rPr>
          <w:rFonts w:hint="eastAsia" w:ascii="宋体" w:hAnsi="宋体" w:eastAsia="宋体" w:cs="宋体"/>
          <w:sz w:val="21"/>
          <w:szCs w:val="21"/>
          <w:highlight w:val="none"/>
          <w:u w:val="single"/>
        </w:rPr>
        <w:t xml:space="preserve">      </w:t>
      </w:r>
    </w:p>
    <w:p>
      <w:pPr>
        <w:adjustRightInd w:val="0"/>
        <w:snapToGrid w:val="0"/>
        <w:spacing w:line="360" w:lineRule="auto"/>
        <w:ind w:firstLine="422" w:firstLineChars="200"/>
        <w:rPr>
          <w:rFonts w:hint="eastAsia" w:ascii="宋体" w:hAnsi="宋体" w:eastAsia="宋体" w:cs="宋体"/>
          <w:b/>
          <w:sz w:val="21"/>
          <w:szCs w:val="21"/>
          <w:highlight w:val="none"/>
        </w:rPr>
      </w:pPr>
      <w:r>
        <w:rPr>
          <w:rFonts w:hint="eastAsia" w:ascii="宋体" w:hAnsi="宋体" w:eastAsia="宋体" w:cs="宋体"/>
          <w:b/>
          <w:sz w:val="21"/>
          <w:szCs w:val="21"/>
          <w:highlight w:val="none"/>
        </w:rPr>
        <w:t>（六）招标人补充的废标情形：</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br w:type="page"/>
      </w:r>
    </w:p>
    <w:p>
      <w:pPr>
        <w:adjustRightInd w:val="0"/>
        <w:snapToGrid w:val="0"/>
        <w:spacing w:line="360" w:lineRule="auto"/>
        <w:jc w:val="center"/>
        <w:outlineLvl w:val="1"/>
        <w:rPr>
          <w:rFonts w:hint="eastAsia" w:ascii="黑体" w:hAnsi="黑体" w:eastAsia="黑体" w:cs="黑体"/>
          <w:b w:val="0"/>
          <w:bCs/>
          <w:sz w:val="32"/>
          <w:szCs w:val="32"/>
          <w:highlight w:val="none"/>
        </w:rPr>
      </w:pPr>
      <w:bookmarkStart w:id="7" w:name="_Toc32026"/>
      <w:r>
        <w:rPr>
          <w:rFonts w:hint="eastAsia" w:ascii="黑体" w:hAnsi="黑体" w:eastAsia="黑体" w:cs="黑体"/>
          <w:b w:val="0"/>
          <w:bCs/>
          <w:sz w:val="32"/>
          <w:szCs w:val="32"/>
          <w:highlight w:val="none"/>
        </w:rPr>
        <w:t>三、</w:t>
      </w:r>
      <w:r>
        <w:rPr>
          <w:rFonts w:hint="eastAsia" w:ascii="黑体" w:hAnsi="黑体" w:eastAsia="黑体" w:cs="黑体"/>
          <w:b w:val="0"/>
          <w:bCs/>
          <w:color w:val="000000"/>
          <w:sz w:val="32"/>
          <w:szCs w:val="32"/>
          <w:highlight w:val="none"/>
        </w:rPr>
        <w:t>招投标须知正文</w:t>
      </w:r>
      <w:bookmarkEnd w:id="7"/>
    </w:p>
    <w:p>
      <w:pPr>
        <w:pStyle w:val="4"/>
        <w:keepNext w:val="0"/>
        <w:keepLines w:val="0"/>
        <w:widowControl w:val="0"/>
        <w:tabs>
          <w:tab w:val="left" w:pos="720"/>
          <w:tab w:val="left" w:pos="4032"/>
        </w:tabs>
        <w:adjustRightInd w:val="0"/>
        <w:snapToGrid w:val="0"/>
        <w:spacing w:before="0" w:after="0" w:line="360" w:lineRule="auto"/>
        <w:jc w:val="center"/>
        <w:rPr>
          <w:rFonts w:hint="eastAsia" w:ascii="宋体" w:hAnsi="宋体" w:eastAsia="宋体" w:cs="宋体"/>
          <w:b/>
          <w:bCs w:val="0"/>
          <w:sz w:val="32"/>
          <w:szCs w:val="32"/>
          <w:highlight w:val="none"/>
          <w:lang w:val="en-US" w:eastAsia="zh-CN"/>
        </w:rPr>
      </w:pPr>
      <w:bookmarkStart w:id="8" w:name="_Toc18763"/>
      <w:r>
        <w:rPr>
          <w:rFonts w:hint="eastAsia" w:ascii="宋体" w:hAnsi="宋体" w:eastAsia="宋体" w:cs="宋体"/>
          <w:b/>
          <w:bCs w:val="0"/>
          <w:sz w:val="32"/>
          <w:szCs w:val="32"/>
          <w:highlight w:val="none"/>
          <w:lang w:val="en-US" w:eastAsia="zh-CN"/>
        </w:rPr>
        <w:t>（一）招标</w:t>
      </w:r>
      <w:bookmarkEnd w:id="8"/>
    </w:p>
    <w:p>
      <w:pPr>
        <w:adjustRightInd w:val="0"/>
        <w:snapToGrid w:val="0"/>
        <w:spacing w:line="360" w:lineRule="auto"/>
        <w:ind w:firstLine="409" w:firstLineChars="194"/>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1.工程规模和特征</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1.1工程规模和特征见招标文件所述（详见第七章-图纸、第八章-工程量清单）。</w:t>
      </w:r>
    </w:p>
    <w:p>
      <w:pPr>
        <w:adjustRightInd w:val="0"/>
        <w:snapToGrid w:val="0"/>
        <w:spacing w:line="360" w:lineRule="auto"/>
        <w:ind w:firstLine="409" w:firstLineChars="194"/>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2.招标范围</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2.1本次招标的工程项目见招标文件所述（详见第七章-图纸、第八章-工程量清单）。</w:t>
      </w:r>
    </w:p>
    <w:p>
      <w:pPr>
        <w:adjustRightInd w:val="0"/>
        <w:snapToGrid w:val="0"/>
        <w:spacing w:line="360" w:lineRule="auto"/>
        <w:ind w:firstLine="409" w:firstLineChars="194"/>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3.资金来源</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3.1资金来源包括政府、国企、私企、集体、外资和其他资金。</w:t>
      </w:r>
    </w:p>
    <w:p>
      <w:pPr>
        <w:adjustRightInd w:val="0"/>
        <w:snapToGrid w:val="0"/>
        <w:spacing w:line="360" w:lineRule="auto"/>
        <w:ind w:firstLine="409" w:firstLineChars="194"/>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4.工程质量</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4.1本工程的质量标准见前附表及第六章标准、规范和技术要求所述。</w:t>
      </w:r>
    </w:p>
    <w:p>
      <w:pPr>
        <w:adjustRightInd w:val="0"/>
        <w:snapToGrid w:val="0"/>
        <w:spacing w:line="360" w:lineRule="auto"/>
        <w:ind w:firstLine="409" w:firstLineChars="194"/>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5.工期要求</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5.1标准工期（指按《深圳市建设工程施工工期标准》计算出的本工程工期）</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5.2计划施工总工期不超过日历天，对比标准工期压缩比例为%（压缩比例=1-施工总工期/标准工期，不得为负值）</w:t>
      </w:r>
    </w:p>
    <w:p>
      <w:pPr>
        <w:adjustRightInd w:val="0"/>
        <w:snapToGrid w:val="0"/>
        <w:spacing w:line="360" w:lineRule="auto"/>
        <w:ind w:firstLine="409" w:firstLineChars="194"/>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6.投标人要求</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6.1招标人应当按照国家相关资质管理规定设置资质等级。涉及多项资质的，应当允许联合体投标。</w:t>
      </w:r>
    </w:p>
    <w:p>
      <w:pPr>
        <w:adjustRightInd w:val="0"/>
        <w:snapToGrid w:val="0"/>
        <w:spacing w:line="360" w:lineRule="auto"/>
        <w:ind w:firstLine="409" w:firstLineChars="194"/>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7.投标人业绩要求</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7.1招标人应按照73号文相关规定设置业绩要求</w:t>
      </w:r>
    </w:p>
    <w:p>
      <w:pPr>
        <w:adjustRightInd w:val="0"/>
        <w:snapToGrid w:val="0"/>
        <w:spacing w:line="360" w:lineRule="auto"/>
        <w:ind w:firstLine="409" w:firstLineChars="194"/>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8.投标人项目经理（建造师）要求</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8.1招标人应当按照《注册建造师管理规定》进行设置。</w:t>
      </w:r>
    </w:p>
    <w:p>
      <w:pPr>
        <w:adjustRightInd w:val="0"/>
        <w:snapToGrid w:val="0"/>
        <w:spacing w:line="360" w:lineRule="auto"/>
        <w:ind w:firstLine="409" w:firstLineChars="194"/>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9.踏勘现场</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9.1招标人不集中组织投标现场踏勘，投标人需要了解现场情况的，可自行进行现场踏勘。踏勘现场所发生的费用由投标人自己承担。</w:t>
      </w:r>
    </w:p>
    <w:p>
      <w:pPr>
        <w:adjustRightInd w:val="0"/>
        <w:snapToGrid w:val="0"/>
        <w:spacing w:line="360" w:lineRule="auto"/>
        <w:ind w:firstLine="409" w:firstLineChars="194"/>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10.招标控制价</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10.1招标人将在截标前5日之前，公示审定招标控制价、投标报价上限、各项不可竞争费（如：安全文明施工费、专业工程暂估价、暂列金额、优质优价奖励费，以及其它不可竞争费）的具体数值。</w:t>
      </w:r>
    </w:p>
    <w:p>
      <w:pPr>
        <w:adjustRightInd w:val="0"/>
        <w:snapToGrid w:val="0"/>
        <w:spacing w:line="360" w:lineRule="auto"/>
        <w:ind w:firstLine="409" w:firstLineChars="194"/>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11.招标文件的澄清、答疑</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11.1招标人按法律法规规定时限在交易网发布招标文件的澄清（答疑）纪要、修改（补充）函件。澄清（答疑）纪要、修改（补充）函件均是招标文件的组成部分，对招标人投标人起约束作用。</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11.2招标人按法律法规的规定时限在交易网发布补遗文件。</w:t>
      </w:r>
    </w:p>
    <w:p>
      <w:pPr>
        <w:adjustRightInd w:val="0"/>
        <w:snapToGrid w:val="0"/>
        <w:spacing w:line="360" w:lineRule="auto"/>
        <w:ind w:firstLine="422" w:firstLineChars="200"/>
        <w:rPr>
          <w:rFonts w:hint="eastAsia" w:ascii="宋体" w:hAnsi="宋体" w:eastAsia="宋体" w:cs="宋体"/>
          <w:sz w:val="21"/>
          <w:szCs w:val="21"/>
          <w:highlight w:val="none"/>
        </w:rPr>
      </w:pPr>
      <w:r>
        <w:rPr>
          <w:rFonts w:hint="eastAsia" w:ascii="宋体" w:hAnsi="宋体" w:eastAsia="宋体" w:cs="宋体"/>
          <w:b/>
          <w:bCs/>
          <w:sz w:val="21"/>
          <w:szCs w:val="21"/>
          <w:highlight w:val="none"/>
        </w:rPr>
        <w:t>12.招标文件的修改</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12.1招标文件发布后，在法律法规规定时限内，确需要变更招标文件内容的，招标人可主动或在解答投标人提出的澄清问题时对招标文件进行修改，并同时报建设行政主管部门备案。招标人对工程量清单作出变更，要重新制作商务标电子招标文件和送审招标控制价文件，对评标方法、评审项目等重要评审内容作出变更，要重新制作技术标电子招标文件，对送审招标控制价作出变更，要重新制作送审招标控制价文件，并重新备案，同时发布补遗文件进行说明，便于各投标人及时重新下载最新的电子招标文件和送审招标控制价文件编制电子投标文件。</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12.2招标文件和送审招标控制价文件的修改将在交易网发布，招标文件的修改作为招标文件的组成部分，并具有约束力。投标人应在截标时间前随时查看有关该工程招标文件的答疑、补遗内容。否则，由此引起的投标损失自负。</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12.3招标文件、招标文件澄清（答疑）纪要、招标文件修改（补充）文件内容均以网上发布的为准。当招标文件、澄清（答疑）纪要、修改（补充）函件内容相互矛盾时，以最后发出的为准。但是澄清（答疑）纪要、修改（补充）函件中存在否决性条款时，须由招标人重新编写《投标文件否决性条款》，将列入所增加的否决性条款。否则，仍应以先前发出的《投标文件否决性条款》为准，新增加的否决性条款无效。</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12.4招标人保证招标文件澄清（答疑）纪要、招标文件修改（补充）文件在法律法规的规定时限前在交易网发布。为使投标人在编写投标文件时有充分时间对招标文件的修改（补充）部分进行研究，招标人可以酌情延长递交投标文件的截止日期，具体时间将在修改（补充）文件中明确。</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12.5在招标文件确定的提交投标文件截止时间后，招标人不得再变更或修改招标文件确定的评标及定标方法。</w:t>
      </w:r>
    </w:p>
    <w:p>
      <w:pPr>
        <w:pStyle w:val="4"/>
        <w:keepNext w:val="0"/>
        <w:keepLines w:val="0"/>
        <w:widowControl w:val="0"/>
        <w:tabs>
          <w:tab w:val="left" w:pos="720"/>
          <w:tab w:val="left" w:pos="4032"/>
        </w:tabs>
        <w:adjustRightInd w:val="0"/>
        <w:snapToGrid w:val="0"/>
        <w:spacing w:before="0" w:after="0" w:line="360" w:lineRule="auto"/>
        <w:jc w:val="center"/>
        <w:rPr>
          <w:rFonts w:hint="eastAsia" w:ascii="宋体" w:hAnsi="宋体" w:eastAsia="宋体" w:cs="宋体"/>
          <w:b/>
          <w:bCs w:val="0"/>
          <w:sz w:val="32"/>
          <w:szCs w:val="32"/>
          <w:highlight w:val="none"/>
          <w:lang w:val="en-US" w:eastAsia="zh-CN"/>
        </w:rPr>
      </w:pPr>
      <w:bookmarkStart w:id="9" w:name="_Toc28200"/>
      <w:r>
        <w:rPr>
          <w:rFonts w:hint="eastAsia" w:ascii="宋体" w:hAnsi="宋体" w:eastAsia="宋体" w:cs="宋体"/>
          <w:b/>
          <w:bCs w:val="0"/>
          <w:sz w:val="32"/>
          <w:szCs w:val="32"/>
          <w:highlight w:val="none"/>
          <w:lang w:val="en-US" w:eastAsia="zh-CN"/>
        </w:rPr>
        <w:t>（二）投标</w:t>
      </w:r>
      <w:bookmarkEnd w:id="9"/>
    </w:p>
    <w:p>
      <w:pPr>
        <w:adjustRightInd w:val="0"/>
        <w:snapToGrid w:val="0"/>
        <w:spacing w:line="360" w:lineRule="auto"/>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13.对招标文件的质疑</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13.1招标人不集中组织答疑，实行网上答疑。投标人若对招标文件有疑问，需要招标人予以澄清，应按法律法规规定时限以不署名的形式在交易网提出。</w:t>
      </w:r>
    </w:p>
    <w:p>
      <w:pPr>
        <w:adjustRightInd w:val="0"/>
        <w:snapToGrid w:val="0"/>
        <w:spacing w:line="360" w:lineRule="auto"/>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14.投标文件要求</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14.1投标人获取招标文件后，应仔细检查招标文件的所有内容。投标人同时应认真审阅招标文件中所有的事项、条款、格式和标准要求等，如果投标人的投标文件没有按照招标文件要求提交全部资料或者投标文件没有对招标文件做出实质性响应，其风险应由投标人自行承担，并且根据有关条款规定，其投标有可能被拒绝。</w:t>
      </w:r>
    </w:p>
    <w:p>
      <w:pPr>
        <w:adjustRightInd w:val="0"/>
        <w:snapToGrid w:val="0"/>
        <w:spacing w:line="360" w:lineRule="auto"/>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15.投标费用</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15.1投标人应承担其编制投标文件与递交投标文件所涉及的一切费用。不论投标结果如何，招标人在任何情况下无义务也无责任承担这些费用。</w:t>
      </w:r>
    </w:p>
    <w:p>
      <w:pPr>
        <w:adjustRightInd w:val="0"/>
        <w:snapToGrid w:val="0"/>
        <w:spacing w:line="360" w:lineRule="auto"/>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16.关于联合体投标</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16.1由两个或两个以上法人组成一个联合体以一个投标人的身份共同投标时，应符合招标项目资质及其他相关要求；</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16.2投标人的投标文件及中标后签署的合同协议书对联合体每一成员均具法律约束力；</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16.3联合体的各成员应当签订共同投标协议，明确约定各方拟承担的工作和责任，并将该共同投标协议随投标文件一并递交给招标人；</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16.4联合体中标后，联合体各方应当共同与招标人签订合同，为履行合同向招标人承担连带责任；</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16.5由联合体的各成员提交一份授权书，证明联合体代表资格，该授权书作为投标文件的组成部分一并提交给招标人； </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16.6联合体代表应被授权作为联合体所有成员的代表承担责任和接受指令，并负责整个合同的全面履行；</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16.7参加联合体的各成员不得再以自己的名义单独投标，也不得同时参加两个或两个以上的联合体投标。出现上述情况者，其投标和与其有关的联合体的投标均做无效标处理；</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16.8除非另有规定或说明，本须知(本款)中“投标人”一词亦指联合体各成员。</w:t>
      </w:r>
    </w:p>
    <w:p>
      <w:pPr>
        <w:adjustRightInd w:val="0"/>
        <w:snapToGrid w:val="0"/>
        <w:spacing w:line="360" w:lineRule="auto"/>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17.投标文件的语言及度量单位</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17.1投标人与招标人之间与投标有关的所有往来文件和投标文件均应使用中文。投标人随投标文件提供的证明文件和资料可以为其它语言，但必须附中文译文，并且，为了解释投标文件，应以中文为准。</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17.2除工程建设标准及技术要求另有规定外，投标文件使用的度量单位，均采用中华人民共和国法定计量单位。</w:t>
      </w:r>
    </w:p>
    <w:p>
      <w:pPr>
        <w:adjustRightInd w:val="0"/>
        <w:snapToGrid w:val="0"/>
        <w:spacing w:line="360" w:lineRule="auto"/>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18.投标文件的组成</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18.1资格审查文件主要包括下列内容（扫描件）：</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18.1.1投标人营业执照；</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18.1.2投标人资质证书；</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18.1.3投标人安全生产许可证证明以及拟派项目经理的安全生产考核合格证证明；</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18.1.4投标人拟派出的项目经理的《项目经理证》或注册建造师的《注册建造师证》；</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18.1.5投标担保证明文件（如银行纸质保函、保证金</w:t>
      </w:r>
      <w:r>
        <w:rPr>
          <w:rFonts w:hint="eastAsia" w:ascii="宋体" w:hAnsi="宋体" w:eastAsia="宋体" w:cs="宋体"/>
          <w:sz w:val="21"/>
          <w:szCs w:val="21"/>
          <w:highlight w:val="none"/>
          <w:lang w:eastAsia="zh-CN"/>
        </w:rPr>
        <w:t>、投标保证保险合同或保险单</w:t>
      </w:r>
      <w:r>
        <w:rPr>
          <w:rFonts w:hint="eastAsia" w:ascii="宋体" w:hAnsi="宋体" w:eastAsia="宋体" w:cs="宋体"/>
          <w:sz w:val="21"/>
          <w:szCs w:val="21"/>
          <w:highlight w:val="none"/>
        </w:rPr>
        <w:t>等）；</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18.1.6招标人要求提供的与投标人条件审查有关的其他资格证明材料：（必须详细、明确、足以证明资格条件）</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18.2资信标部分主要内容：详见招标文件“资信标要求一览表”</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18.3商务标部分主要包括下列内容：</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18.3.1工程量清单报价表的说明；</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18.3.2工程量清单报价表；</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18.3.3施工投标承诺函；</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18.3.4招标文件要求提交的其它资料：</w:t>
      </w:r>
      <w:r>
        <w:rPr>
          <w:rFonts w:hint="eastAsia" w:ascii="宋体" w:hAnsi="宋体" w:eastAsia="宋体" w:cs="宋体"/>
          <w:bCs/>
          <w:sz w:val="21"/>
          <w:szCs w:val="21"/>
          <w:highlight w:val="none"/>
          <w:u w:val="single"/>
        </w:rPr>
        <w:t xml:space="preserve">      </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18.4对技术标部分的要求： </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□投标人应按照招标人提供的“技术标编写目录及要求”编制技术标书。（选择此项的，招标人必须在《第九章投标文件格式》的“技术标编写目录及要求”中填写相关内容。）</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□技术标部分不超过</w:t>
      </w:r>
      <w:r>
        <w:rPr>
          <w:rFonts w:hint="eastAsia" w:ascii="宋体" w:hAnsi="宋体" w:eastAsia="宋体" w:cs="宋体"/>
          <w:bCs/>
          <w:sz w:val="21"/>
          <w:szCs w:val="21"/>
          <w:highlight w:val="none"/>
          <w:u w:val="single"/>
        </w:rPr>
        <w:t xml:space="preserve">      </w:t>
      </w:r>
      <w:r>
        <w:rPr>
          <w:rFonts w:hint="eastAsia" w:ascii="宋体" w:hAnsi="宋体" w:eastAsia="宋体" w:cs="宋体"/>
          <w:sz w:val="21"/>
          <w:szCs w:val="21"/>
          <w:highlight w:val="none"/>
        </w:rPr>
        <w:t>页（不含证明材料）。</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□本工程不要求编制技术标，但投标人中标后应当在</w:t>
      </w:r>
      <w:r>
        <w:rPr>
          <w:rFonts w:hint="eastAsia" w:ascii="宋体" w:hAnsi="宋体" w:eastAsia="宋体" w:cs="宋体"/>
          <w:bCs/>
          <w:sz w:val="21"/>
          <w:szCs w:val="21"/>
          <w:highlight w:val="none"/>
          <w:u w:val="single"/>
        </w:rPr>
        <w:t xml:space="preserve">      </w:t>
      </w:r>
      <w:r>
        <w:rPr>
          <w:rFonts w:hint="eastAsia" w:ascii="宋体" w:hAnsi="宋体" w:eastAsia="宋体" w:cs="宋体"/>
          <w:sz w:val="21"/>
          <w:szCs w:val="21"/>
          <w:highlight w:val="none"/>
        </w:rPr>
        <w:t>日内根据《施工组织设计编写规范（试行）》编制相应的施工组织设计，并经招标人认可后组织实施。</w:t>
      </w:r>
    </w:p>
    <w:p>
      <w:pPr>
        <w:adjustRightInd w:val="0"/>
        <w:snapToGrid w:val="0"/>
        <w:spacing w:line="360" w:lineRule="auto"/>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19.投标文件的格式要求</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19.1商务标电子文档的格式要求：投标文件电子标书应使用《深圳市建设工程商务标投标文件编制系统》制作。（电子文档为xxx.TBS格式）</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19.2其它电子文档的格式要求：</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19.2.1投标文件电子标书应使用《深圳市建设工程技术标投标文件编制系统》制作。（资格审查文件为xxx.TBZ格式、技术标文件为xxx.TBJ格式、资信标文件为xxx.TBYJ格式）</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19.2.2投标文件包括投标文件的格式要求中规定的内容，投标人提交的投标文件必须使用招标文件所提供的投标文件格式，详见招标文件第九章—投标文件格式（表格可以按同样格式扩展）。</w:t>
      </w:r>
    </w:p>
    <w:p>
      <w:pPr>
        <w:adjustRightInd w:val="0"/>
        <w:snapToGrid w:val="0"/>
        <w:spacing w:line="360" w:lineRule="auto"/>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20.投标文件的签署</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20.1投标文件必须采用数字证书进行签名，除加签投标人机构数字证书、法定代表人个人数字证书外，技术标必须加签拟派项目经理（建造师）个人数字证书，商务标必须加签造价工程师个人数字证书。</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20.2采用个人数字证书签名的项目经理（建造师）、造价工程师对签署部分的投标文件的真实性、合法性承担个人执业责任（但并不因此免除投标人应承担的法律责任）。</w:t>
      </w:r>
    </w:p>
    <w:p>
      <w:pPr>
        <w:adjustRightInd w:val="0"/>
        <w:snapToGrid w:val="0"/>
        <w:spacing w:line="360" w:lineRule="auto"/>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21.投标报价</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21.1投标报价为投标人的投标文件中提出的各项支付金额的总和。</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21.2投标人的投标报价，应是招标范围和合同条件上所列的各项内容中所述的全部，不得以任何理由予以重复，并以投标人在工程量清单中提出的综合单价或总价为依据。</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21.3投标人应按工程量清单中列出的工程项目填报综合单价和合价。任何有选择的报价将不予接受，每一项目只允许有一个报价。投标人未填综合单价或合价的工程项目，将被视为该项费用已包括在其它有价款的综合单价或合价内，任何与此有关的工程价款，招标人将不另行支付。</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21.4工程建设标准和技术规范要求的费用应包括在投标报价中。</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21.5投标人应先到工地踏勘以充分了解工地位置、道路、储存空间、装卸限制及任何其它足以影响投标报价的情况，任何因忽视或误解工地情况而导致的索赔或工期延长申请将不获批准。</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21.6除非招标人通过修改招标文件予以更正，否则，投标人应按工程量清单中的项目和数量进行报价。</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21.7“安全文明施工措施费”应当作为非竞争性费用，在投标报价中单列（但应计入投标总价）。“安全文明施工措施费”包括临时设施费、安全施工费、文明施工费、环境保护费。</w:t>
      </w:r>
    </w:p>
    <w:p>
      <w:pPr>
        <w:adjustRightInd w:val="0"/>
        <w:snapToGrid w:val="0"/>
        <w:spacing w:line="360" w:lineRule="auto"/>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22.投标有效期</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22.1投标有效期按法律法规规定期限内，所有投标文件均保持有效。</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22.2特殊的情况下，在原定投标有效期满之前，招标人可以根据需要以书面形式向投标人提出延长投标有效期的要求，对此要求投标人须以书面形式予以答复，投标人可以拒绝招标人这种要求，而不被没收投标保证金或投标保函。同意延长投标有效期的投标人不能要求也不允许修改其投标文件，但需要相应延长投标担保的有效期，在延长的投标有效期内关于投标保证金或投标保函的退还与没收的规定仍然适用。</w:t>
      </w:r>
    </w:p>
    <w:p>
      <w:pPr>
        <w:adjustRightInd w:val="0"/>
        <w:snapToGrid w:val="0"/>
        <w:spacing w:line="360" w:lineRule="auto"/>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23.投标担保</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23.1投标人应在递交投标文件的同时提交一笔不少于法律法规规定数额的投标保证金（不得超过招标项目估算价的2%</w:t>
      </w:r>
      <w:r>
        <w:rPr>
          <w:rFonts w:hint="eastAsia" w:ascii="宋体" w:hAnsi="宋体" w:eastAsia="宋体" w:cs="宋体"/>
          <w:sz w:val="21"/>
          <w:szCs w:val="21"/>
          <w:highlight w:val="none"/>
          <w:lang w:eastAsia="zh-CN"/>
        </w:rPr>
        <w:t>，最高不得超过</w:t>
      </w:r>
      <w:r>
        <w:rPr>
          <w:rFonts w:hint="eastAsia" w:ascii="宋体" w:hAnsi="宋体" w:eastAsia="宋体" w:cs="宋体"/>
          <w:sz w:val="21"/>
          <w:szCs w:val="21"/>
          <w:highlight w:val="none"/>
          <w:lang w:val="en-US" w:eastAsia="zh-CN"/>
        </w:rPr>
        <w:t>50万元</w:t>
      </w:r>
      <w:r>
        <w:rPr>
          <w:rFonts w:hint="eastAsia" w:ascii="宋体" w:hAnsi="宋体" w:eastAsia="宋体" w:cs="宋体"/>
          <w:sz w:val="21"/>
          <w:szCs w:val="21"/>
          <w:highlight w:val="none"/>
        </w:rPr>
        <w:t>）</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等同投标保证金的投标保函</w:t>
      </w:r>
      <w:r>
        <w:rPr>
          <w:rFonts w:hint="eastAsia" w:ascii="宋体" w:hAnsi="宋体" w:eastAsia="宋体" w:cs="宋体"/>
          <w:sz w:val="21"/>
          <w:szCs w:val="21"/>
          <w:highlight w:val="none"/>
          <w:lang w:eastAsia="zh-CN"/>
        </w:rPr>
        <w:t>或保证保险</w:t>
      </w:r>
      <w:r>
        <w:rPr>
          <w:rFonts w:hint="eastAsia" w:ascii="宋体" w:hAnsi="宋体" w:eastAsia="宋体" w:cs="宋体"/>
          <w:sz w:val="21"/>
          <w:szCs w:val="21"/>
          <w:highlight w:val="none"/>
        </w:rPr>
        <w:t>，作为其投标的一部分。投标担保是为了避免招标人因投标人的行为而蒙受损失，招标人可根据本须知规定的条件没收投标保证金或投标保函。</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23.2投标人应按前附表要求提交投标担保，无需同时提供银行上下级关系隶属证明或基本账户开户证明，中标后可根据招标人要求补充相关证明材料。</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23.3投标保函的格式见第九章--投标文件格式。如果投标人不采用参考格式的投标保函，拟采用的投标保函应符合参考格式中对实质性内容的要求，并且须经过招标人确认同意。投标保函应在投标有效期满后28天内继续有效。</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若采用纸质保函的，投标人应将纸质保函以扫描件形式作为资格审查文件的组成部分，纸质保函原件在中标候选人确定后由招标人收取。若采用电子保函的，招标人在资格审查页面查看电子保函和基本账户开户证明等信息。投标人申请的电子保函出函时间应确保在截标之前。</w:t>
      </w:r>
    </w:p>
    <w:p>
      <w:pPr>
        <w:adjustRightInd w:val="0"/>
        <w:snapToGrid w:val="0"/>
        <w:spacing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23.4若采用保证保险的，投标人在投标时提交其与保险公司签订的投标保证保险合同或保险单的，应当视同已经缴纳投标保证金或提供银行保函。保费必须通过投标人基本账户支付，账户名称应与投标单位名称一致，不得以分支机构等其他名义提交，并且应将基本账户开户许可证或基本存款账户信息表复印件及保费转账凭证编入投标文件中。</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23.5对于未能按要求提交投标担保的，投标文件将按有关条款不予受理。</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23.6未中标的投标人的投标担保将按照招标人规定的投标有效期或经投标人同意的延长的投标有效期期满后7天内予以退还。</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23.7出现下列情形之一时，招标人应当在7天内退还投标人的投标担保：</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23.7.1中标通知书发出，中标人签订了工程承包合同；</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23.7.2招标过程中招标活动因正当理由被招标人宣布终止；</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23.7.3招标失败需重新组织招标；</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23.7.4投标有效期满而投标人不同意作出延长。</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23.8投标人有下列任何情况发生时，投标担保将被没收。给招标人造成的损失超过投标担保金额的，投标人还应当对超过部分给予赔偿。</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23.8.1投标人有弄虚作假或串通投标等违法违规行为；</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23.8.2投标人在投标有效期内撤回其投标文件；</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23.8.3中标人无正当理由不与招标人订立合同，在签订合同时向招标人提出附加条件，或者不按照招标文件要求提交履约保证金的；</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23.8.4投标人资质证书或安全生产许可证被暂扣或吊销，但仍参与投标的。</w:t>
      </w:r>
    </w:p>
    <w:p>
      <w:pPr>
        <w:adjustRightInd w:val="0"/>
        <w:snapToGrid w:val="0"/>
        <w:spacing w:line="360" w:lineRule="auto"/>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24.投标文件的提交</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24.1联合体投标的工程，联合体代表应在投标时录入已进行企业信息登记的联合体其他成员单位。</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24.2投标人应根据投标文件递交的规定，在投标截止时间前将投标文件上传到交易网。</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24.3投标人在递交投标文件以后，在规定的投标截止时间之前，可以重新提交经修改补充的投标文件，并电子签名确认和打印回执，原已提交的投标文件会被新的投标文件覆盖。</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24.4在投标截止时间以后，不得补充、修改投标文件。</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24.5截标时递交标书的投标人数量不足3名的，招标人将按法律法规的规定暂停开标和评标程序。如导致招标失败，招标人将不负担因此给投标人造成的损失。</w:t>
      </w:r>
    </w:p>
    <w:p>
      <w:pPr>
        <w:pStyle w:val="4"/>
        <w:keepNext w:val="0"/>
        <w:keepLines w:val="0"/>
        <w:widowControl w:val="0"/>
        <w:tabs>
          <w:tab w:val="left" w:pos="720"/>
          <w:tab w:val="left" w:pos="4032"/>
        </w:tabs>
        <w:adjustRightInd w:val="0"/>
        <w:snapToGrid w:val="0"/>
        <w:spacing w:before="0" w:after="0" w:line="360" w:lineRule="auto"/>
        <w:jc w:val="center"/>
        <w:rPr>
          <w:rFonts w:hint="eastAsia" w:ascii="宋体" w:hAnsi="宋体" w:eastAsia="宋体" w:cs="宋体"/>
          <w:b/>
          <w:bCs w:val="0"/>
          <w:sz w:val="32"/>
          <w:szCs w:val="32"/>
          <w:highlight w:val="none"/>
          <w:lang w:val="en-US" w:eastAsia="zh-CN"/>
        </w:rPr>
      </w:pPr>
      <w:bookmarkStart w:id="10" w:name="_Toc23086"/>
      <w:r>
        <w:rPr>
          <w:rFonts w:hint="eastAsia" w:ascii="宋体" w:hAnsi="宋体" w:eastAsia="宋体" w:cs="宋体"/>
          <w:b/>
          <w:bCs w:val="0"/>
          <w:sz w:val="32"/>
          <w:szCs w:val="32"/>
          <w:highlight w:val="none"/>
          <w:lang w:val="en-US" w:eastAsia="zh-CN"/>
        </w:rPr>
        <w:t>（三）资格后审</w:t>
      </w:r>
      <w:bookmarkEnd w:id="10"/>
    </w:p>
    <w:p>
      <w:pPr>
        <w:adjustRightInd w:val="0"/>
        <w:snapToGrid w:val="0"/>
        <w:spacing w:line="360" w:lineRule="auto"/>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25.资格后审</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25.1资格审查由招标人组成的资格后审委员会负责，在截标后招标人登陆交易网对各投标人资格进行审查。</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25.2资格后审委员会由3名以上单数的招标人代表组成，招标代理人员参与资格审查的，其人员不得超过总人数的1/3。</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25.3资格后审委员严格对照招标公告中要求的投标人资格条件，逐个审查投标人递交的资格审查文件，审核判断投标人是否满足该资格条件。</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25.4审查过程中如出现疑问，资格后审委员可要求投标人进行澄清说明，并根据招标公告设置的条件要求进行判断；如出现投标人资格不符合招标公告设置条件的，应当向投标人说明情况，并允许投标人答辩，记录有关情况。</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25.</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拟进行资格后审澄清、答辩的代表由招标人核对身份。</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25.</w:t>
      </w: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资格后审委员会要求投标人进行澄清、答辩，但投标人在招标人规定时间内未派出人员及时作出澄清、答辩的，资格后审委员会将可能作出不利于投标人的判定。</w:t>
      </w:r>
    </w:p>
    <w:p>
      <w:pPr>
        <w:adjustRightInd w:val="0"/>
        <w:snapToGrid w:val="0"/>
        <w:spacing w:line="360" w:lineRule="auto"/>
        <w:ind w:firstLine="420" w:firstLineChars="200"/>
        <w:rPr>
          <w:rFonts w:hint="eastAsia" w:ascii="宋体" w:hAnsi="宋体" w:eastAsia="宋体" w:cs="宋体"/>
          <w:sz w:val="24"/>
          <w:szCs w:val="24"/>
          <w:highlight w:val="none"/>
        </w:rPr>
      </w:pPr>
      <w:r>
        <w:rPr>
          <w:rFonts w:hint="eastAsia" w:ascii="宋体" w:hAnsi="宋体" w:eastAsia="宋体" w:cs="宋体"/>
          <w:sz w:val="21"/>
          <w:szCs w:val="21"/>
          <w:highlight w:val="none"/>
        </w:rPr>
        <w:t>25.</w:t>
      </w: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全部投标人的资格审查材料审查完毕后，资格后审委员会出具资格审查报告，并按规定将审查结果进行公示，同时由系统直接将所有投标人的资信标内容公示。资格审查合格投标人少于3家的，不再进行后续招标投标程序。资格审查结果应当在交易网公示不少于3个工作日。</w:t>
      </w:r>
    </w:p>
    <w:p>
      <w:pPr>
        <w:pStyle w:val="4"/>
        <w:keepNext w:val="0"/>
        <w:keepLines w:val="0"/>
        <w:widowControl w:val="0"/>
        <w:tabs>
          <w:tab w:val="left" w:pos="720"/>
          <w:tab w:val="left" w:pos="4032"/>
        </w:tabs>
        <w:adjustRightInd w:val="0"/>
        <w:snapToGrid w:val="0"/>
        <w:spacing w:before="0" w:after="0" w:line="360" w:lineRule="auto"/>
        <w:jc w:val="center"/>
        <w:rPr>
          <w:rFonts w:hint="eastAsia" w:ascii="宋体" w:hAnsi="宋体" w:eastAsia="宋体" w:cs="宋体"/>
          <w:b/>
          <w:bCs w:val="0"/>
          <w:sz w:val="32"/>
          <w:szCs w:val="32"/>
          <w:highlight w:val="none"/>
          <w:lang w:val="en-US" w:eastAsia="zh-CN"/>
        </w:rPr>
      </w:pPr>
      <w:bookmarkStart w:id="11" w:name="_Toc24949"/>
      <w:r>
        <w:rPr>
          <w:rFonts w:hint="eastAsia" w:ascii="宋体" w:hAnsi="宋体" w:eastAsia="宋体" w:cs="宋体"/>
          <w:b/>
          <w:bCs w:val="0"/>
          <w:sz w:val="32"/>
          <w:szCs w:val="32"/>
          <w:highlight w:val="none"/>
          <w:lang w:val="en-US" w:eastAsia="zh-CN"/>
        </w:rPr>
        <w:t>（四）开标</w:t>
      </w:r>
      <w:bookmarkEnd w:id="11"/>
    </w:p>
    <w:p>
      <w:pPr>
        <w:adjustRightInd w:val="0"/>
        <w:snapToGrid w:val="0"/>
        <w:spacing w:line="360" w:lineRule="auto"/>
        <w:ind w:firstLine="422" w:firstLineChars="200"/>
        <w:rPr>
          <w:rFonts w:hint="eastAsia" w:ascii="宋体" w:hAnsi="宋体" w:eastAsia="宋体" w:cs="宋体"/>
          <w:b/>
          <w:bCs/>
          <w:szCs w:val="21"/>
          <w:highlight w:val="none"/>
        </w:rPr>
      </w:pPr>
      <w:r>
        <w:rPr>
          <w:rFonts w:hint="eastAsia" w:ascii="宋体" w:hAnsi="宋体" w:eastAsia="宋体" w:cs="宋体"/>
          <w:b/>
          <w:bCs/>
          <w:szCs w:val="21"/>
          <w:highlight w:val="none"/>
        </w:rPr>
        <w:t>26.开标</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26.1开标会议由招标人在交易网进行，投标人现场参加开标会的必须是法定代表人或投标员，并必须遵守办理程序及人员身份的相关规定。 </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26.2资格后审不合格的投标人的投标文件将不再进入下一步开标程序。</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26.3开标时，招标人需按开标程序分步对电子投标文件各部分进行导入；如电子投标文件已加密的，也必须按开标程序分步对电子投标文件各部分进行解密。</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26.4按招标文件规定宣布为不予受理情形的投标文件，不予送交评标委员会评审。</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26.5招标人应对开标过程进行记录，以存档备查。</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26.6对于开标后合格的投标人数量超过20名的，招标人应当采用票决法淘汰部分投标人，但进入后续评标程序的投标人数量应当为15至20名。具体淘汰办法在招标文件中明确规定。</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26.7招标人在过多投标人淘汰环节应当采用票决法进行择优。择优因素主要考虑企业资质、企业规模、财务状况、企业及其人员的廉政记录、信用等。招标人可以根据项目实际情况增加择优因素，也可以综合考虑择优因素或按择优因素的重要性，对投标人进行逐级淘汰。</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26.8开标及入围结果应当在交易网进行公示。</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26.9招标人在</w:t>
      </w:r>
      <w:r>
        <w:rPr>
          <w:rFonts w:hint="eastAsia" w:ascii="宋体" w:hAnsi="宋体" w:eastAsia="宋体" w:cs="宋体"/>
          <w:szCs w:val="21"/>
          <w:highlight w:val="none"/>
          <w:lang w:eastAsia="zh-CN"/>
        </w:rPr>
        <w:t>深圳交易集团有限公司（深圳公共资源交易中心）</w:t>
      </w:r>
      <w:r>
        <w:rPr>
          <w:rFonts w:hint="eastAsia" w:ascii="宋体" w:hAnsi="宋体" w:eastAsia="宋体" w:cs="宋体"/>
          <w:szCs w:val="21"/>
          <w:highlight w:val="none"/>
        </w:rPr>
        <w:t>现场组织的开标会应遵循《会议管理规定》及《开标会程序》的相关规定。</w:t>
      </w:r>
    </w:p>
    <w:p>
      <w:pPr>
        <w:adjustRightInd w:val="0"/>
        <w:snapToGrid w:val="0"/>
        <w:spacing w:line="360" w:lineRule="auto"/>
        <w:ind w:firstLine="422" w:firstLineChars="200"/>
        <w:rPr>
          <w:b/>
          <w:bCs/>
          <w:szCs w:val="21"/>
          <w:highlight w:val="none"/>
        </w:rPr>
      </w:pPr>
      <w:r>
        <w:rPr>
          <w:rFonts w:hint="eastAsia" w:ascii="宋体" w:hAnsi="宋体" w:eastAsia="宋体" w:cs="宋体"/>
          <w:b/>
          <w:bCs/>
          <w:szCs w:val="21"/>
          <w:highlight w:val="none"/>
        </w:rPr>
        <w:t>27.投标文件不予受理的情形（详见投标文件否决性条款第一条）</w:t>
      </w:r>
    </w:p>
    <w:p>
      <w:pPr>
        <w:bidi w:val="0"/>
        <w:rPr>
          <w:rFonts w:hint="eastAsia"/>
          <w:lang w:val="en-US" w:eastAsia="zh-CN"/>
        </w:rPr>
      </w:pPr>
    </w:p>
    <w:p>
      <w:pPr>
        <w:pStyle w:val="4"/>
        <w:keepNext w:val="0"/>
        <w:keepLines w:val="0"/>
        <w:widowControl w:val="0"/>
        <w:tabs>
          <w:tab w:val="left" w:pos="720"/>
          <w:tab w:val="left" w:pos="4032"/>
        </w:tabs>
        <w:adjustRightInd w:val="0"/>
        <w:snapToGrid w:val="0"/>
        <w:spacing w:before="0" w:after="0" w:line="360" w:lineRule="auto"/>
        <w:jc w:val="center"/>
        <w:rPr>
          <w:rFonts w:hint="eastAsia" w:ascii="宋体" w:hAnsi="宋体" w:eastAsia="宋体" w:cs="宋体"/>
          <w:b/>
          <w:bCs w:val="0"/>
          <w:sz w:val="32"/>
          <w:szCs w:val="32"/>
          <w:highlight w:val="none"/>
          <w:lang w:val="en-US" w:eastAsia="zh-CN"/>
        </w:rPr>
      </w:pPr>
      <w:bookmarkStart w:id="12" w:name="_Toc6149"/>
      <w:r>
        <w:rPr>
          <w:rFonts w:hint="eastAsia" w:ascii="宋体" w:hAnsi="宋体" w:eastAsia="宋体" w:cs="宋体"/>
          <w:b/>
          <w:bCs w:val="0"/>
          <w:sz w:val="32"/>
          <w:szCs w:val="32"/>
          <w:highlight w:val="none"/>
          <w:lang w:val="en-US" w:eastAsia="zh-CN"/>
        </w:rPr>
        <w:t>（五）评标</w:t>
      </w:r>
      <w:bookmarkEnd w:id="12"/>
    </w:p>
    <w:p>
      <w:pPr>
        <w:adjustRightInd w:val="0"/>
        <w:snapToGrid w:val="0"/>
        <w:spacing w:line="360" w:lineRule="auto"/>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28.评标方法及标准</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28.1评标委员会应当根据“投标须知前附表”规定的评标方法，对投标文件进行评审和比较，招标文件中没有规定的标准和方法不得作为评标的依据。</w:t>
      </w:r>
    </w:p>
    <w:p>
      <w:pPr>
        <w:adjustRightInd w:val="0"/>
        <w:snapToGrid w:val="0"/>
        <w:spacing w:line="360" w:lineRule="auto"/>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29.评标委员会组建及职责</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29.1评标委员会组建方式：由招标人依法组建，负责评标活动。评标委员会的专家成员由招标人从评标专家库内按照专业随机抽取（招标人可以各委派一名代表作为技术标和商务标的评标委员会成员），且应当符合下列要求：</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29.1.1采用电子评标的，技术标评标委员会成员数量为5人以上单数，商务标评标委员会成员数量为3人以上单数；</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29.1.2采用纸质方式评标的，技术标评标委员会和商务标评标委员会数量均为5人以上单数。</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29.2评标委员会职责：评标委员会应根据招标文件规定的评标方法和标准，遵循公开、公正、公平、科学、择优的原则，对投标文件进行评审。评标委员会根据招标文件规定向招标人推荐合格投标人或中标候选人。</w:t>
      </w:r>
    </w:p>
    <w:p>
      <w:pPr>
        <w:adjustRightInd w:val="0"/>
        <w:snapToGrid w:val="0"/>
        <w:spacing w:line="360" w:lineRule="auto"/>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30.投标文件的初步评审</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30.1计算机评标系统对投标文件进行自动清标分析，然后由评标委员会进行投标文件的初步评审。</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30.2投标文件初步评审不合格的，应参照投标文件否决性条款作无效标处理。</w:t>
      </w:r>
    </w:p>
    <w:p>
      <w:pPr>
        <w:adjustRightInd w:val="0"/>
        <w:snapToGrid w:val="0"/>
        <w:spacing w:line="360" w:lineRule="auto"/>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31.投标文件的详细评审</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31.1评标委员会根据招标文件规定的评标方法和标准，对各投标人的投标文件分别进行详细评审。</w:t>
      </w:r>
    </w:p>
    <w:p>
      <w:pPr>
        <w:adjustRightInd w:val="0"/>
        <w:snapToGrid w:val="0"/>
        <w:spacing w:line="360" w:lineRule="auto"/>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32.投标文件的重大偏差</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32.1投标文件存在的重大偏差情形的，评标委员会应根据相应的投标文件否决性条款作废标处理。</w:t>
      </w:r>
    </w:p>
    <w:p>
      <w:pPr>
        <w:adjustRightInd w:val="0"/>
        <w:snapToGrid w:val="0"/>
        <w:spacing w:line="360" w:lineRule="auto"/>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33.投标文件的细微偏差</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33.1细微偏差是指投标文件在实质上响应招标文件要求，提供了不完整的技术信息和数据等情况，细微偏差不影响投标文件的有效性。在评审过程中，评标委员会可以要求投标人就投标文件中含义不明确的内容进行说明并提供相关材料，投标人拒不补正的，在详细评审时可以对细微偏离按照不利于该投标人的原则进行调整，且投标人不得因此提出任何异议。</w:t>
      </w:r>
    </w:p>
    <w:p>
      <w:pPr>
        <w:adjustRightInd w:val="0"/>
        <w:snapToGrid w:val="0"/>
        <w:spacing w:line="360" w:lineRule="auto"/>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34.投标文件的澄清答辩</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34.1为有助于投标文件的审查、评价和比较，评标委员会可以要求投标人对投标文件含义不明确的内容作必要的澄清或说明，投标人应当进行澄清或说明，但不得超出投标文件的范围或改变投标报价和其他实质性内容。澄清答辩可采用评标区录音电话或现场两种方式进行。</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34.2采用评标区录音电话方式澄清答辩的答辩人，仅限该项目递交投标文件时确定的投标员，投标员的联系方式以系统登记信息为准。采用现场方式澄清答辩的答辩人应为该单位的授权委托人，授权委托人须本人携带有效的身份证明文件（包含身份证原件、法定代表人证明书、法人授权委托书等）。澄清答辩人员的身份由招标人核验。</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34.3评标委员会要求投标人进行答辩，但投标人在评标委员会规定的时间内（不少于30分钟）内未派出代表及时作出答辩的，评标委员会将根据招标文件规定作出不利于投标人的判定，投标人不得因此提出任何异议。</w:t>
      </w:r>
    </w:p>
    <w:p>
      <w:pPr>
        <w:adjustRightInd w:val="0"/>
        <w:snapToGrid w:val="0"/>
        <w:spacing w:line="360" w:lineRule="auto"/>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35.无效标和废标的处理</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35.1除法律、法规、规章、规范性文件规定以及本招标文件否决性条款单列的无效标或者废标情形外，评标委员会不得对投标文件作无效标或者废标处理。评标委员会对投标文件应坚持谨慎确定无效标和废标的原则。</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35.2评标委员会在作出任何一项无效标和废标决定前，都应当严格遵循以下程序：</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35.2.1向当事投标人作相应的澄清；</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35.2.2当事投标人应当在通知规定时间内，向评标委员会作出澄清和解释。未按时作出澄清和解释的，评标委员会可对相应投标文件按最不利情形认定；</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35.2.3在充分讨论的基础上集体表决；</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35.2.4若表决通过无效标或废标决定，应在评标报告中详细载明无效标或废标的理由、依据、答辩的情况和集体表决的情况（同意无效标或废标和不同意无效标或废标的评标委员会成员均应当注明）；</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35.2.5评标委员会在否决所有投标文件前，应当向招标人核实有关情况，听取招标人意见。</w:t>
      </w:r>
    </w:p>
    <w:p>
      <w:pPr>
        <w:adjustRightInd w:val="0"/>
        <w:snapToGrid w:val="0"/>
        <w:spacing w:line="360" w:lineRule="auto"/>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36.合格投标人的推荐</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36.1评标委员会实行少数服从多数的原则，评标结果经评标委员会全体成员过半数通过有效。</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36.2评标委员会经过对投标文件进行评审和比较后，推荐合格投标人进行下一轮定标程序，并向招标人出具评标报告。</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36.3评标委员会作出无效标或者废标处理后，合格投标人数量不足3名的，招标人应当宣布本次招标失败，重新招标。</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36.4采用批量招标或者预选招标方式的，评标委员会作出无效标或者废标处理后，合格投标人数量不足拟定中标人数量或者预选企业数量加上2名的，招标人不得再采用批量招标或者预选招标方式。</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36.5重新招标的项目，评标委员会作出无效标或者废标处理后合格投标人数量仍不足3名的，评标委员会应当将对合格投标人的评审意见提交招标人，招标人可以按照原招标文件的定标程序和方法从合格投标人中确定中标人，或者将上述情况在交易网公示3个工作日后直接发包。</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36.6评标过程中，若评标委员会认为本次招标缺乏竞争性，可以不推荐投标人，由招标人重新组织招标。</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36.7如招投标过程中出现严重异常情况，经主管部门批准，招标人可以不接受本次招标结果，应当重新招标。</w:t>
      </w:r>
    </w:p>
    <w:p>
      <w:pPr>
        <w:adjustRightInd w:val="0"/>
        <w:snapToGrid w:val="0"/>
        <w:spacing w:line="360" w:lineRule="auto"/>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37评标报告</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37.1评标委员会收集并汇总全体评委评审意见后，由评标委员会主任委员填写《评标报告》。</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37.2评标报告应由评标委员会全体成员签字。对评标结论持有异议的评委，可采用书面方式阐述其不同意见和理由。评标委员会成员拒绝签字的，视为同意评标结论。评标委员会应对此做出书面记录。</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37.3对发现的涉嫌违法、违规行为，应当在评标报告中做出详细说明，做好取证工作，并及时告知行政主管部门。</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37.4评标委员会向招标人提交评标报告后即解散。评标过程中使用的文件、资料等，都不得带离评标室。</w:t>
      </w:r>
    </w:p>
    <w:p>
      <w:pPr>
        <w:adjustRightInd w:val="0"/>
        <w:snapToGrid w:val="0"/>
        <w:spacing w:line="360" w:lineRule="auto"/>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38.评标结果公示</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38.1招标人应当将评标报告（含合格投标人名单）在交易网公示3个工作日。</w:t>
      </w:r>
    </w:p>
    <w:p>
      <w:pPr>
        <w:adjustRightInd w:val="0"/>
        <w:snapToGrid w:val="0"/>
        <w:spacing w:line="360" w:lineRule="auto"/>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39.其它规定</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39.1若投标人的投标行为出现违反相关法律法规等政策文件列明的各种情形的，招标人将提请主管部门对相应投标人作不良记录。</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39.2评标过程中，若评标委员依据招标文件的规定要求招标人重新招标，招标人不承担因招标失败给投标人造成的损失。</w:t>
      </w:r>
    </w:p>
    <w:p>
      <w:pPr>
        <w:adjustRightInd w:val="0"/>
        <w:snapToGrid w:val="0"/>
        <w:spacing w:line="360" w:lineRule="auto"/>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40.评标表格</w:t>
      </w:r>
    </w:p>
    <w:p>
      <w:pPr>
        <w:adjustRightInd w:val="0"/>
        <w:snapToGrid w:val="0"/>
        <w:spacing w:line="360" w:lineRule="auto"/>
        <w:jc w:val="center"/>
        <w:rPr>
          <w:rFonts w:hint="eastAsia" w:ascii="宋体" w:hAnsi="宋体" w:eastAsia="宋体" w:cs="宋体"/>
          <w:b/>
          <w:sz w:val="30"/>
          <w:szCs w:val="30"/>
          <w:highlight w:val="none"/>
        </w:rPr>
      </w:pPr>
      <w:r>
        <w:rPr>
          <w:rFonts w:hint="eastAsia" w:ascii="宋体" w:hAnsi="宋体" w:eastAsia="宋体" w:cs="宋体"/>
          <w:b/>
          <w:sz w:val="30"/>
          <w:szCs w:val="30"/>
          <w:highlight w:val="none"/>
        </w:rPr>
        <w:t>商务标定性评审表</w:t>
      </w:r>
    </w:p>
    <w:p>
      <w:pPr>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标段名称：                                投标单位：</w:t>
      </w:r>
    </w:p>
    <w:tbl>
      <w:tblPr>
        <w:tblStyle w:val="39"/>
        <w:tblW w:w="92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3"/>
        <w:gridCol w:w="817"/>
        <w:gridCol w:w="1125"/>
        <w:gridCol w:w="1205"/>
        <w:gridCol w:w="1160"/>
        <w:gridCol w:w="1249"/>
        <w:gridCol w:w="536"/>
        <w:gridCol w:w="20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3" w:type="dxa"/>
            <w:vMerge w:val="restart"/>
            <w:vAlign w:val="center"/>
          </w:tcPr>
          <w:p>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一、投标总价概况</w:t>
            </w:r>
          </w:p>
        </w:tc>
        <w:tc>
          <w:tcPr>
            <w:tcW w:w="817" w:type="dxa"/>
            <w:vMerge w:val="restart"/>
            <w:vAlign w:val="center"/>
          </w:tcPr>
          <w:p>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投标总价（万元）</w:t>
            </w:r>
          </w:p>
        </w:tc>
        <w:tc>
          <w:tcPr>
            <w:tcW w:w="1125" w:type="dxa"/>
            <w:vMerge w:val="restart"/>
            <w:vAlign w:val="center"/>
          </w:tcPr>
          <w:p>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投标总价与招标控制价的差额（万元）</w:t>
            </w:r>
          </w:p>
        </w:tc>
        <w:tc>
          <w:tcPr>
            <w:tcW w:w="1205" w:type="dxa"/>
            <w:vMerge w:val="restart"/>
            <w:vAlign w:val="center"/>
          </w:tcPr>
          <w:p>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投标总价的净下浮率（%）</w:t>
            </w:r>
          </w:p>
        </w:tc>
        <w:tc>
          <w:tcPr>
            <w:tcW w:w="4959" w:type="dxa"/>
            <w:gridSpan w:val="4"/>
            <w:vAlign w:val="center"/>
          </w:tcPr>
          <w:p>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投标总价中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3" w:type="dxa"/>
            <w:vMerge w:val="continue"/>
          </w:tcPr>
          <w:p>
            <w:pPr>
              <w:adjustRightInd w:val="0"/>
              <w:snapToGrid w:val="0"/>
              <w:spacing w:line="360" w:lineRule="auto"/>
              <w:rPr>
                <w:rFonts w:hint="eastAsia" w:ascii="宋体" w:hAnsi="宋体" w:eastAsia="宋体" w:cs="宋体"/>
                <w:kern w:val="0"/>
                <w:sz w:val="21"/>
                <w:szCs w:val="21"/>
                <w:highlight w:val="none"/>
              </w:rPr>
            </w:pPr>
          </w:p>
        </w:tc>
        <w:tc>
          <w:tcPr>
            <w:tcW w:w="817" w:type="dxa"/>
            <w:vMerge w:val="continue"/>
          </w:tcPr>
          <w:p>
            <w:pPr>
              <w:adjustRightInd w:val="0"/>
              <w:snapToGrid w:val="0"/>
              <w:spacing w:line="360" w:lineRule="auto"/>
              <w:rPr>
                <w:rFonts w:hint="eastAsia" w:ascii="宋体" w:hAnsi="宋体" w:eastAsia="宋体" w:cs="宋体"/>
                <w:kern w:val="0"/>
                <w:sz w:val="21"/>
                <w:szCs w:val="21"/>
                <w:highlight w:val="none"/>
              </w:rPr>
            </w:pPr>
          </w:p>
        </w:tc>
        <w:tc>
          <w:tcPr>
            <w:tcW w:w="1125" w:type="dxa"/>
            <w:vMerge w:val="continue"/>
          </w:tcPr>
          <w:p>
            <w:pPr>
              <w:adjustRightInd w:val="0"/>
              <w:snapToGrid w:val="0"/>
              <w:spacing w:line="360" w:lineRule="auto"/>
              <w:rPr>
                <w:rFonts w:hint="eastAsia" w:ascii="宋体" w:hAnsi="宋体" w:eastAsia="宋体" w:cs="宋体"/>
                <w:kern w:val="0"/>
                <w:sz w:val="21"/>
                <w:szCs w:val="21"/>
                <w:highlight w:val="none"/>
              </w:rPr>
            </w:pPr>
          </w:p>
        </w:tc>
        <w:tc>
          <w:tcPr>
            <w:tcW w:w="1205" w:type="dxa"/>
            <w:vMerge w:val="continue"/>
          </w:tcPr>
          <w:p>
            <w:pPr>
              <w:adjustRightInd w:val="0"/>
              <w:snapToGrid w:val="0"/>
              <w:spacing w:line="360" w:lineRule="auto"/>
              <w:rPr>
                <w:rFonts w:hint="eastAsia" w:ascii="宋体" w:hAnsi="宋体" w:eastAsia="宋体" w:cs="宋体"/>
                <w:kern w:val="0"/>
                <w:sz w:val="21"/>
                <w:szCs w:val="21"/>
                <w:highlight w:val="none"/>
              </w:rPr>
            </w:pPr>
          </w:p>
        </w:tc>
        <w:tc>
          <w:tcPr>
            <w:tcW w:w="1160" w:type="dxa"/>
          </w:tcPr>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分部分项</w:t>
            </w:r>
          </w:p>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金额（万元）</w:t>
            </w:r>
          </w:p>
        </w:tc>
        <w:tc>
          <w:tcPr>
            <w:tcW w:w="1785" w:type="dxa"/>
            <w:gridSpan w:val="2"/>
          </w:tcPr>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措施项目</w:t>
            </w:r>
          </w:p>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金额（万元）</w:t>
            </w:r>
          </w:p>
        </w:tc>
        <w:tc>
          <w:tcPr>
            <w:tcW w:w="2014" w:type="dxa"/>
          </w:tcPr>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其他金额（万元）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3" w:type="dxa"/>
            <w:vMerge w:val="continue"/>
          </w:tcPr>
          <w:p>
            <w:pPr>
              <w:adjustRightInd w:val="0"/>
              <w:snapToGrid w:val="0"/>
              <w:spacing w:line="360" w:lineRule="auto"/>
              <w:rPr>
                <w:rFonts w:hint="eastAsia" w:ascii="宋体" w:hAnsi="宋体" w:eastAsia="宋体" w:cs="宋体"/>
                <w:kern w:val="0"/>
                <w:sz w:val="21"/>
                <w:szCs w:val="21"/>
                <w:highlight w:val="none"/>
              </w:rPr>
            </w:pPr>
          </w:p>
        </w:tc>
        <w:tc>
          <w:tcPr>
            <w:tcW w:w="817" w:type="dxa"/>
          </w:tcPr>
          <w:p>
            <w:pPr>
              <w:adjustRightInd w:val="0"/>
              <w:snapToGrid w:val="0"/>
              <w:spacing w:line="360" w:lineRule="auto"/>
              <w:rPr>
                <w:rFonts w:hint="eastAsia" w:ascii="宋体" w:hAnsi="宋体" w:eastAsia="宋体" w:cs="宋体"/>
                <w:kern w:val="0"/>
                <w:sz w:val="21"/>
                <w:szCs w:val="21"/>
                <w:highlight w:val="none"/>
              </w:rPr>
            </w:pPr>
          </w:p>
        </w:tc>
        <w:tc>
          <w:tcPr>
            <w:tcW w:w="1125" w:type="dxa"/>
          </w:tcPr>
          <w:p>
            <w:pPr>
              <w:adjustRightInd w:val="0"/>
              <w:snapToGrid w:val="0"/>
              <w:spacing w:line="360" w:lineRule="auto"/>
              <w:rPr>
                <w:rFonts w:hint="eastAsia" w:ascii="宋体" w:hAnsi="宋体" w:eastAsia="宋体" w:cs="宋体"/>
                <w:kern w:val="0"/>
                <w:sz w:val="21"/>
                <w:szCs w:val="21"/>
                <w:highlight w:val="none"/>
              </w:rPr>
            </w:pPr>
          </w:p>
        </w:tc>
        <w:tc>
          <w:tcPr>
            <w:tcW w:w="1205" w:type="dxa"/>
          </w:tcPr>
          <w:p>
            <w:pPr>
              <w:adjustRightInd w:val="0"/>
              <w:snapToGrid w:val="0"/>
              <w:spacing w:line="360" w:lineRule="auto"/>
              <w:rPr>
                <w:rFonts w:hint="eastAsia" w:ascii="宋体" w:hAnsi="宋体" w:eastAsia="宋体" w:cs="宋体"/>
                <w:kern w:val="0"/>
                <w:sz w:val="21"/>
                <w:szCs w:val="21"/>
                <w:highlight w:val="none"/>
              </w:rPr>
            </w:pPr>
          </w:p>
        </w:tc>
        <w:tc>
          <w:tcPr>
            <w:tcW w:w="1160" w:type="dxa"/>
          </w:tcPr>
          <w:p>
            <w:pPr>
              <w:adjustRightInd w:val="0"/>
              <w:snapToGrid w:val="0"/>
              <w:spacing w:line="360" w:lineRule="auto"/>
              <w:rPr>
                <w:rFonts w:hint="eastAsia" w:ascii="宋体" w:hAnsi="宋体" w:eastAsia="宋体" w:cs="宋体"/>
                <w:kern w:val="0"/>
                <w:sz w:val="21"/>
                <w:szCs w:val="21"/>
                <w:highlight w:val="none"/>
              </w:rPr>
            </w:pPr>
          </w:p>
        </w:tc>
        <w:tc>
          <w:tcPr>
            <w:tcW w:w="1785" w:type="dxa"/>
            <w:gridSpan w:val="2"/>
          </w:tcPr>
          <w:p>
            <w:pPr>
              <w:adjustRightInd w:val="0"/>
              <w:snapToGrid w:val="0"/>
              <w:spacing w:line="360" w:lineRule="auto"/>
              <w:rPr>
                <w:rFonts w:hint="eastAsia" w:ascii="宋体" w:hAnsi="宋体" w:eastAsia="宋体" w:cs="宋体"/>
                <w:kern w:val="0"/>
                <w:sz w:val="21"/>
                <w:szCs w:val="21"/>
                <w:highlight w:val="none"/>
              </w:rPr>
            </w:pPr>
          </w:p>
        </w:tc>
        <w:tc>
          <w:tcPr>
            <w:tcW w:w="2014" w:type="dxa"/>
          </w:tcPr>
          <w:p>
            <w:pPr>
              <w:adjustRightInd w:val="0"/>
              <w:snapToGrid w:val="0"/>
              <w:spacing w:line="360" w:lineRule="auto"/>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3" w:type="dxa"/>
            <w:vMerge w:val="restart"/>
            <w:vAlign w:val="center"/>
          </w:tcPr>
          <w:p>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二、指定单位工程报价分析</w:t>
            </w:r>
          </w:p>
        </w:tc>
        <w:tc>
          <w:tcPr>
            <w:tcW w:w="1942" w:type="dxa"/>
            <w:gridSpan w:val="2"/>
            <w:vAlign w:val="center"/>
          </w:tcPr>
          <w:p>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单位工程名称</w:t>
            </w:r>
          </w:p>
        </w:tc>
        <w:tc>
          <w:tcPr>
            <w:tcW w:w="1205" w:type="dxa"/>
            <w:vAlign w:val="center"/>
          </w:tcPr>
          <w:p>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招标控制价</w:t>
            </w:r>
          </w:p>
          <w:p>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（万元）</w:t>
            </w:r>
          </w:p>
        </w:tc>
        <w:tc>
          <w:tcPr>
            <w:tcW w:w="1160" w:type="dxa"/>
            <w:vAlign w:val="center"/>
          </w:tcPr>
          <w:p>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投标价</w:t>
            </w:r>
          </w:p>
          <w:p>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（万元）</w:t>
            </w:r>
          </w:p>
        </w:tc>
        <w:tc>
          <w:tcPr>
            <w:tcW w:w="1249" w:type="dxa"/>
            <w:vAlign w:val="center"/>
          </w:tcPr>
          <w:p>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单位工程净下浮率（%）</w:t>
            </w:r>
          </w:p>
        </w:tc>
        <w:tc>
          <w:tcPr>
            <w:tcW w:w="2550" w:type="dxa"/>
            <w:gridSpan w:val="2"/>
            <w:vAlign w:val="center"/>
          </w:tcPr>
          <w:p>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指定专业工程投标报价偏离度（A=投标总价净下浮率-单位工程净下浮率）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3" w:type="dxa"/>
            <w:vMerge w:val="continue"/>
          </w:tcPr>
          <w:p>
            <w:pPr>
              <w:adjustRightInd w:val="0"/>
              <w:snapToGrid w:val="0"/>
              <w:spacing w:line="360" w:lineRule="auto"/>
              <w:rPr>
                <w:rFonts w:hint="eastAsia" w:ascii="宋体" w:hAnsi="宋体" w:eastAsia="宋体" w:cs="宋体"/>
                <w:kern w:val="0"/>
                <w:sz w:val="21"/>
                <w:szCs w:val="21"/>
                <w:highlight w:val="none"/>
              </w:rPr>
            </w:pPr>
          </w:p>
        </w:tc>
        <w:tc>
          <w:tcPr>
            <w:tcW w:w="1942" w:type="dxa"/>
            <w:gridSpan w:val="2"/>
          </w:tcPr>
          <w:p>
            <w:pPr>
              <w:adjustRightInd w:val="0"/>
              <w:snapToGrid w:val="0"/>
              <w:spacing w:line="360" w:lineRule="auto"/>
              <w:rPr>
                <w:rFonts w:hint="eastAsia" w:ascii="宋体" w:hAnsi="宋体" w:eastAsia="宋体" w:cs="宋体"/>
                <w:kern w:val="0"/>
                <w:sz w:val="21"/>
                <w:szCs w:val="21"/>
                <w:highlight w:val="none"/>
              </w:rPr>
            </w:pPr>
          </w:p>
        </w:tc>
        <w:tc>
          <w:tcPr>
            <w:tcW w:w="1205" w:type="dxa"/>
          </w:tcPr>
          <w:p>
            <w:pPr>
              <w:adjustRightInd w:val="0"/>
              <w:snapToGrid w:val="0"/>
              <w:spacing w:line="360" w:lineRule="auto"/>
              <w:rPr>
                <w:rFonts w:hint="eastAsia" w:ascii="宋体" w:hAnsi="宋体" w:eastAsia="宋体" w:cs="宋体"/>
                <w:kern w:val="0"/>
                <w:sz w:val="21"/>
                <w:szCs w:val="21"/>
                <w:highlight w:val="none"/>
              </w:rPr>
            </w:pPr>
          </w:p>
        </w:tc>
        <w:tc>
          <w:tcPr>
            <w:tcW w:w="1160" w:type="dxa"/>
          </w:tcPr>
          <w:p>
            <w:pPr>
              <w:adjustRightInd w:val="0"/>
              <w:snapToGrid w:val="0"/>
              <w:spacing w:line="360" w:lineRule="auto"/>
              <w:rPr>
                <w:rFonts w:hint="eastAsia" w:ascii="宋体" w:hAnsi="宋体" w:eastAsia="宋体" w:cs="宋体"/>
                <w:kern w:val="0"/>
                <w:sz w:val="21"/>
                <w:szCs w:val="21"/>
                <w:highlight w:val="none"/>
              </w:rPr>
            </w:pPr>
          </w:p>
        </w:tc>
        <w:tc>
          <w:tcPr>
            <w:tcW w:w="1249" w:type="dxa"/>
          </w:tcPr>
          <w:p>
            <w:pPr>
              <w:adjustRightInd w:val="0"/>
              <w:snapToGrid w:val="0"/>
              <w:spacing w:line="360" w:lineRule="auto"/>
              <w:rPr>
                <w:rFonts w:hint="eastAsia" w:ascii="宋体" w:hAnsi="宋体" w:eastAsia="宋体" w:cs="宋体"/>
                <w:kern w:val="0"/>
                <w:sz w:val="21"/>
                <w:szCs w:val="21"/>
                <w:highlight w:val="none"/>
              </w:rPr>
            </w:pPr>
          </w:p>
        </w:tc>
        <w:tc>
          <w:tcPr>
            <w:tcW w:w="2550" w:type="dxa"/>
            <w:gridSpan w:val="2"/>
          </w:tcPr>
          <w:p>
            <w:pPr>
              <w:adjustRightInd w:val="0"/>
              <w:snapToGrid w:val="0"/>
              <w:spacing w:line="360" w:lineRule="auto"/>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3" w:type="dxa"/>
            <w:vMerge w:val="continue"/>
          </w:tcPr>
          <w:p>
            <w:pPr>
              <w:adjustRightInd w:val="0"/>
              <w:snapToGrid w:val="0"/>
              <w:spacing w:line="360" w:lineRule="auto"/>
              <w:rPr>
                <w:rFonts w:hint="eastAsia" w:ascii="宋体" w:hAnsi="宋体" w:eastAsia="宋体" w:cs="宋体"/>
                <w:kern w:val="0"/>
                <w:sz w:val="21"/>
                <w:szCs w:val="21"/>
                <w:highlight w:val="none"/>
              </w:rPr>
            </w:pPr>
          </w:p>
        </w:tc>
        <w:tc>
          <w:tcPr>
            <w:tcW w:w="1942" w:type="dxa"/>
            <w:gridSpan w:val="2"/>
          </w:tcPr>
          <w:p>
            <w:pPr>
              <w:adjustRightInd w:val="0"/>
              <w:snapToGrid w:val="0"/>
              <w:spacing w:line="360" w:lineRule="auto"/>
              <w:rPr>
                <w:rFonts w:hint="eastAsia" w:ascii="宋体" w:hAnsi="宋体" w:eastAsia="宋体" w:cs="宋体"/>
                <w:kern w:val="0"/>
                <w:sz w:val="21"/>
                <w:szCs w:val="21"/>
                <w:highlight w:val="none"/>
              </w:rPr>
            </w:pPr>
          </w:p>
        </w:tc>
        <w:tc>
          <w:tcPr>
            <w:tcW w:w="1205" w:type="dxa"/>
          </w:tcPr>
          <w:p>
            <w:pPr>
              <w:adjustRightInd w:val="0"/>
              <w:snapToGrid w:val="0"/>
              <w:spacing w:line="360" w:lineRule="auto"/>
              <w:rPr>
                <w:rFonts w:hint="eastAsia" w:ascii="宋体" w:hAnsi="宋体" w:eastAsia="宋体" w:cs="宋体"/>
                <w:kern w:val="0"/>
                <w:sz w:val="21"/>
                <w:szCs w:val="21"/>
                <w:highlight w:val="none"/>
              </w:rPr>
            </w:pPr>
          </w:p>
        </w:tc>
        <w:tc>
          <w:tcPr>
            <w:tcW w:w="1160" w:type="dxa"/>
          </w:tcPr>
          <w:p>
            <w:pPr>
              <w:adjustRightInd w:val="0"/>
              <w:snapToGrid w:val="0"/>
              <w:spacing w:line="360" w:lineRule="auto"/>
              <w:rPr>
                <w:rFonts w:hint="eastAsia" w:ascii="宋体" w:hAnsi="宋体" w:eastAsia="宋体" w:cs="宋体"/>
                <w:kern w:val="0"/>
                <w:sz w:val="21"/>
                <w:szCs w:val="21"/>
                <w:highlight w:val="none"/>
              </w:rPr>
            </w:pPr>
          </w:p>
        </w:tc>
        <w:tc>
          <w:tcPr>
            <w:tcW w:w="1249" w:type="dxa"/>
          </w:tcPr>
          <w:p>
            <w:pPr>
              <w:adjustRightInd w:val="0"/>
              <w:snapToGrid w:val="0"/>
              <w:spacing w:line="360" w:lineRule="auto"/>
              <w:rPr>
                <w:rFonts w:hint="eastAsia" w:ascii="宋体" w:hAnsi="宋体" w:eastAsia="宋体" w:cs="宋体"/>
                <w:kern w:val="0"/>
                <w:sz w:val="21"/>
                <w:szCs w:val="21"/>
                <w:highlight w:val="none"/>
              </w:rPr>
            </w:pPr>
          </w:p>
        </w:tc>
        <w:tc>
          <w:tcPr>
            <w:tcW w:w="2550" w:type="dxa"/>
            <w:gridSpan w:val="2"/>
          </w:tcPr>
          <w:p>
            <w:pPr>
              <w:adjustRightInd w:val="0"/>
              <w:snapToGrid w:val="0"/>
              <w:spacing w:line="360" w:lineRule="auto"/>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3" w:type="dxa"/>
            <w:vMerge w:val="continue"/>
          </w:tcPr>
          <w:p>
            <w:pPr>
              <w:adjustRightInd w:val="0"/>
              <w:snapToGrid w:val="0"/>
              <w:spacing w:line="360" w:lineRule="auto"/>
              <w:rPr>
                <w:rFonts w:hint="eastAsia" w:ascii="宋体" w:hAnsi="宋体" w:eastAsia="宋体" w:cs="宋体"/>
                <w:kern w:val="0"/>
                <w:sz w:val="21"/>
                <w:szCs w:val="21"/>
                <w:highlight w:val="none"/>
              </w:rPr>
            </w:pPr>
          </w:p>
        </w:tc>
        <w:tc>
          <w:tcPr>
            <w:tcW w:w="1942" w:type="dxa"/>
            <w:gridSpan w:val="2"/>
          </w:tcPr>
          <w:p>
            <w:pPr>
              <w:adjustRightInd w:val="0"/>
              <w:snapToGrid w:val="0"/>
              <w:spacing w:line="360" w:lineRule="auto"/>
              <w:rPr>
                <w:rFonts w:hint="eastAsia" w:ascii="宋体" w:hAnsi="宋体" w:eastAsia="宋体" w:cs="宋体"/>
                <w:kern w:val="0"/>
                <w:sz w:val="21"/>
                <w:szCs w:val="21"/>
                <w:highlight w:val="none"/>
              </w:rPr>
            </w:pPr>
          </w:p>
        </w:tc>
        <w:tc>
          <w:tcPr>
            <w:tcW w:w="1205" w:type="dxa"/>
          </w:tcPr>
          <w:p>
            <w:pPr>
              <w:adjustRightInd w:val="0"/>
              <w:snapToGrid w:val="0"/>
              <w:spacing w:line="360" w:lineRule="auto"/>
              <w:rPr>
                <w:rFonts w:hint="eastAsia" w:ascii="宋体" w:hAnsi="宋体" w:eastAsia="宋体" w:cs="宋体"/>
                <w:kern w:val="0"/>
                <w:sz w:val="21"/>
                <w:szCs w:val="21"/>
                <w:highlight w:val="none"/>
              </w:rPr>
            </w:pPr>
          </w:p>
        </w:tc>
        <w:tc>
          <w:tcPr>
            <w:tcW w:w="1160" w:type="dxa"/>
          </w:tcPr>
          <w:p>
            <w:pPr>
              <w:adjustRightInd w:val="0"/>
              <w:snapToGrid w:val="0"/>
              <w:spacing w:line="360" w:lineRule="auto"/>
              <w:rPr>
                <w:rFonts w:hint="eastAsia" w:ascii="宋体" w:hAnsi="宋体" w:eastAsia="宋体" w:cs="宋体"/>
                <w:kern w:val="0"/>
                <w:sz w:val="21"/>
                <w:szCs w:val="21"/>
                <w:highlight w:val="none"/>
              </w:rPr>
            </w:pPr>
          </w:p>
        </w:tc>
        <w:tc>
          <w:tcPr>
            <w:tcW w:w="1249" w:type="dxa"/>
          </w:tcPr>
          <w:p>
            <w:pPr>
              <w:adjustRightInd w:val="0"/>
              <w:snapToGrid w:val="0"/>
              <w:spacing w:line="360" w:lineRule="auto"/>
              <w:rPr>
                <w:rFonts w:hint="eastAsia" w:ascii="宋体" w:hAnsi="宋体" w:eastAsia="宋体" w:cs="宋体"/>
                <w:kern w:val="0"/>
                <w:sz w:val="21"/>
                <w:szCs w:val="21"/>
                <w:highlight w:val="none"/>
              </w:rPr>
            </w:pPr>
          </w:p>
        </w:tc>
        <w:tc>
          <w:tcPr>
            <w:tcW w:w="2550" w:type="dxa"/>
            <w:gridSpan w:val="2"/>
          </w:tcPr>
          <w:p>
            <w:pPr>
              <w:adjustRightInd w:val="0"/>
              <w:snapToGrid w:val="0"/>
              <w:spacing w:line="360" w:lineRule="auto"/>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3" w:type="dxa"/>
            <w:vMerge w:val="restart"/>
            <w:vAlign w:val="center"/>
          </w:tcPr>
          <w:p>
            <w:pPr>
              <w:adjustRightInd w:val="0"/>
              <w:snapToGrid w:val="0"/>
              <w:jc w:val="center"/>
              <w:rPr>
                <w:rFonts w:hint="eastAsia" w:ascii="宋体" w:hAnsi="宋体" w:eastAsia="宋体" w:cs="宋体"/>
                <w:bCs/>
                <w:kern w:val="0"/>
                <w:sz w:val="21"/>
                <w:szCs w:val="21"/>
                <w:highlight w:val="none"/>
              </w:rPr>
            </w:pPr>
            <w:r>
              <w:rPr>
                <w:rFonts w:hint="eastAsia" w:ascii="宋体" w:hAnsi="宋体" w:eastAsia="宋体" w:cs="宋体"/>
                <w:bCs/>
                <w:kern w:val="0"/>
                <w:sz w:val="21"/>
                <w:szCs w:val="21"/>
                <w:highlight w:val="none"/>
              </w:rPr>
              <w:t>三、清单子目招标控制价超过</w:t>
            </w:r>
            <w:r>
              <w:rPr>
                <w:rFonts w:hint="eastAsia" w:ascii="宋体" w:hAnsi="宋体" w:eastAsia="宋体" w:cs="宋体"/>
                <w:bCs/>
                <w:kern w:val="0"/>
                <w:sz w:val="21"/>
                <w:szCs w:val="21"/>
                <w:highlight w:val="none"/>
                <w:u w:val="single"/>
              </w:rPr>
              <w:t xml:space="preserve">      </w:t>
            </w:r>
            <w:r>
              <w:rPr>
                <w:rFonts w:hint="eastAsia" w:ascii="宋体" w:hAnsi="宋体" w:eastAsia="宋体" w:cs="宋体"/>
                <w:bCs/>
                <w:kern w:val="0"/>
                <w:sz w:val="21"/>
                <w:szCs w:val="21"/>
                <w:highlight w:val="none"/>
              </w:rPr>
              <w:t>万元报价分析</w:t>
            </w:r>
          </w:p>
          <w:p>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bCs/>
                <w:kern w:val="0"/>
                <w:sz w:val="21"/>
                <w:szCs w:val="21"/>
                <w:highlight w:val="none"/>
              </w:rPr>
              <w:t>（列出B≥±</w:t>
            </w:r>
            <w:r>
              <w:rPr>
                <w:rFonts w:hint="eastAsia" w:ascii="宋体" w:hAnsi="宋体" w:eastAsia="宋体" w:cs="宋体"/>
                <w:bCs/>
                <w:kern w:val="0"/>
                <w:sz w:val="21"/>
                <w:szCs w:val="21"/>
                <w:highlight w:val="none"/>
                <w:u w:val="single"/>
              </w:rPr>
              <w:t xml:space="preserve">      </w:t>
            </w:r>
            <w:r>
              <w:rPr>
                <w:rFonts w:hint="eastAsia" w:ascii="宋体" w:hAnsi="宋体" w:eastAsia="宋体" w:cs="宋体"/>
                <w:bCs/>
                <w:kern w:val="0"/>
                <w:sz w:val="21"/>
                <w:szCs w:val="21"/>
                <w:highlight w:val="none"/>
              </w:rPr>
              <w:t>%的清单项）</w:t>
            </w:r>
          </w:p>
          <w:p>
            <w:pPr>
              <w:adjustRightInd w:val="0"/>
              <w:snapToGrid w:val="0"/>
              <w:spacing w:line="360" w:lineRule="auto"/>
              <w:jc w:val="center"/>
              <w:rPr>
                <w:rFonts w:hint="eastAsia" w:ascii="宋体" w:hAnsi="宋体" w:eastAsia="宋体" w:cs="宋体"/>
                <w:kern w:val="0"/>
                <w:sz w:val="21"/>
                <w:szCs w:val="21"/>
                <w:highlight w:val="none"/>
              </w:rPr>
            </w:pPr>
          </w:p>
        </w:tc>
        <w:tc>
          <w:tcPr>
            <w:tcW w:w="1942" w:type="dxa"/>
            <w:gridSpan w:val="2"/>
            <w:vAlign w:val="center"/>
          </w:tcPr>
          <w:p>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清单子目编号及工程名称</w:t>
            </w:r>
          </w:p>
        </w:tc>
        <w:tc>
          <w:tcPr>
            <w:tcW w:w="1205" w:type="dxa"/>
            <w:vAlign w:val="center"/>
          </w:tcPr>
          <w:p>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招标控制价</w:t>
            </w:r>
          </w:p>
          <w:p>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（万元）</w:t>
            </w:r>
          </w:p>
        </w:tc>
        <w:tc>
          <w:tcPr>
            <w:tcW w:w="1160" w:type="dxa"/>
            <w:vAlign w:val="center"/>
          </w:tcPr>
          <w:p>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投标价</w:t>
            </w:r>
          </w:p>
          <w:p>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（万元）</w:t>
            </w:r>
          </w:p>
        </w:tc>
        <w:tc>
          <w:tcPr>
            <w:tcW w:w="1249" w:type="dxa"/>
            <w:vAlign w:val="center"/>
          </w:tcPr>
          <w:p>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下浮率（%）</w:t>
            </w:r>
          </w:p>
        </w:tc>
        <w:tc>
          <w:tcPr>
            <w:tcW w:w="2550" w:type="dxa"/>
            <w:gridSpan w:val="2"/>
            <w:vAlign w:val="center"/>
          </w:tcPr>
          <w:p>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清单子目投标报价偏离度（B=投标总价净下浮率-清单子目报价相对招标控制价下浮率）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9" w:hRule="atLeast"/>
        </w:trPr>
        <w:tc>
          <w:tcPr>
            <w:tcW w:w="1183" w:type="dxa"/>
            <w:vMerge w:val="continue"/>
          </w:tcPr>
          <w:p>
            <w:pPr>
              <w:adjustRightInd w:val="0"/>
              <w:snapToGrid w:val="0"/>
              <w:spacing w:line="360" w:lineRule="auto"/>
              <w:rPr>
                <w:rFonts w:hint="eastAsia" w:ascii="宋体" w:hAnsi="宋体" w:eastAsia="宋体" w:cs="宋体"/>
                <w:kern w:val="0"/>
                <w:sz w:val="21"/>
                <w:szCs w:val="21"/>
                <w:highlight w:val="none"/>
              </w:rPr>
            </w:pPr>
          </w:p>
        </w:tc>
        <w:tc>
          <w:tcPr>
            <w:tcW w:w="1942" w:type="dxa"/>
            <w:gridSpan w:val="2"/>
          </w:tcPr>
          <w:p>
            <w:pPr>
              <w:adjustRightInd w:val="0"/>
              <w:snapToGrid w:val="0"/>
              <w:spacing w:line="360" w:lineRule="auto"/>
              <w:rPr>
                <w:rFonts w:hint="eastAsia" w:ascii="宋体" w:hAnsi="宋体" w:eastAsia="宋体" w:cs="宋体"/>
                <w:kern w:val="0"/>
                <w:sz w:val="21"/>
                <w:szCs w:val="21"/>
                <w:highlight w:val="none"/>
              </w:rPr>
            </w:pPr>
          </w:p>
        </w:tc>
        <w:tc>
          <w:tcPr>
            <w:tcW w:w="1205" w:type="dxa"/>
          </w:tcPr>
          <w:p>
            <w:pPr>
              <w:adjustRightInd w:val="0"/>
              <w:snapToGrid w:val="0"/>
              <w:spacing w:line="360" w:lineRule="auto"/>
              <w:rPr>
                <w:rFonts w:hint="eastAsia" w:ascii="宋体" w:hAnsi="宋体" w:eastAsia="宋体" w:cs="宋体"/>
                <w:kern w:val="0"/>
                <w:sz w:val="21"/>
                <w:szCs w:val="21"/>
                <w:highlight w:val="none"/>
              </w:rPr>
            </w:pPr>
          </w:p>
        </w:tc>
        <w:tc>
          <w:tcPr>
            <w:tcW w:w="1160" w:type="dxa"/>
          </w:tcPr>
          <w:p>
            <w:pPr>
              <w:adjustRightInd w:val="0"/>
              <w:snapToGrid w:val="0"/>
              <w:spacing w:line="360" w:lineRule="auto"/>
              <w:rPr>
                <w:rFonts w:hint="eastAsia" w:ascii="宋体" w:hAnsi="宋体" w:eastAsia="宋体" w:cs="宋体"/>
                <w:kern w:val="0"/>
                <w:sz w:val="21"/>
                <w:szCs w:val="21"/>
                <w:highlight w:val="none"/>
              </w:rPr>
            </w:pPr>
          </w:p>
        </w:tc>
        <w:tc>
          <w:tcPr>
            <w:tcW w:w="1249" w:type="dxa"/>
          </w:tcPr>
          <w:p>
            <w:pPr>
              <w:adjustRightInd w:val="0"/>
              <w:snapToGrid w:val="0"/>
              <w:spacing w:line="360" w:lineRule="auto"/>
              <w:rPr>
                <w:rFonts w:hint="eastAsia" w:ascii="宋体" w:hAnsi="宋体" w:eastAsia="宋体" w:cs="宋体"/>
                <w:kern w:val="0"/>
                <w:sz w:val="21"/>
                <w:szCs w:val="21"/>
                <w:highlight w:val="none"/>
              </w:rPr>
            </w:pPr>
          </w:p>
        </w:tc>
        <w:tc>
          <w:tcPr>
            <w:tcW w:w="2550" w:type="dxa"/>
            <w:gridSpan w:val="2"/>
          </w:tcPr>
          <w:p>
            <w:pPr>
              <w:adjustRightInd w:val="0"/>
              <w:snapToGrid w:val="0"/>
              <w:spacing w:line="360" w:lineRule="auto"/>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1183" w:type="dxa"/>
            <w:vMerge w:val="continue"/>
          </w:tcPr>
          <w:p>
            <w:pPr>
              <w:adjustRightInd w:val="0"/>
              <w:snapToGrid w:val="0"/>
              <w:spacing w:line="360" w:lineRule="auto"/>
              <w:rPr>
                <w:rFonts w:hint="eastAsia" w:ascii="宋体" w:hAnsi="宋体" w:eastAsia="宋体" w:cs="宋体"/>
                <w:kern w:val="0"/>
                <w:sz w:val="21"/>
                <w:szCs w:val="21"/>
                <w:highlight w:val="none"/>
              </w:rPr>
            </w:pPr>
          </w:p>
        </w:tc>
        <w:tc>
          <w:tcPr>
            <w:tcW w:w="1942" w:type="dxa"/>
            <w:gridSpan w:val="2"/>
          </w:tcPr>
          <w:p>
            <w:pPr>
              <w:adjustRightInd w:val="0"/>
              <w:snapToGrid w:val="0"/>
              <w:spacing w:line="360" w:lineRule="auto"/>
              <w:rPr>
                <w:rFonts w:hint="eastAsia" w:ascii="宋体" w:hAnsi="宋体" w:eastAsia="宋体" w:cs="宋体"/>
                <w:kern w:val="0"/>
                <w:sz w:val="21"/>
                <w:szCs w:val="21"/>
                <w:highlight w:val="none"/>
              </w:rPr>
            </w:pPr>
          </w:p>
        </w:tc>
        <w:tc>
          <w:tcPr>
            <w:tcW w:w="1205" w:type="dxa"/>
          </w:tcPr>
          <w:p>
            <w:pPr>
              <w:adjustRightInd w:val="0"/>
              <w:snapToGrid w:val="0"/>
              <w:spacing w:line="360" w:lineRule="auto"/>
              <w:rPr>
                <w:rFonts w:hint="eastAsia" w:ascii="宋体" w:hAnsi="宋体" w:eastAsia="宋体" w:cs="宋体"/>
                <w:kern w:val="0"/>
                <w:sz w:val="21"/>
                <w:szCs w:val="21"/>
                <w:highlight w:val="none"/>
              </w:rPr>
            </w:pPr>
          </w:p>
        </w:tc>
        <w:tc>
          <w:tcPr>
            <w:tcW w:w="1160" w:type="dxa"/>
          </w:tcPr>
          <w:p>
            <w:pPr>
              <w:adjustRightInd w:val="0"/>
              <w:snapToGrid w:val="0"/>
              <w:spacing w:line="360" w:lineRule="auto"/>
              <w:rPr>
                <w:rFonts w:hint="eastAsia" w:ascii="宋体" w:hAnsi="宋体" w:eastAsia="宋体" w:cs="宋体"/>
                <w:kern w:val="0"/>
                <w:sz w:val="21"/>
                <w:szCs w:val="21"/>
                <w:highlight w:val="none"/>
              </w:rPr>
            </w:pPr>
          </w:p>
        </w:tc>
        <w:tc>
          <w:tcPr>
            <w:tcW w:w="1249" w:type="dxa"/>
          </w:tcPr>
          <w:p>
            <w:pPr>
              <w:adjustRightInd w:val="0"/>
              <w:snapToGrid w:val="0"/>
              <w:spacing w:line="360" w:lineRule="auto"/>
              <w:rPr>
                <w:rFonts w:hint="eastAsia" w:ascii="宋体" w:hAnsi="宋体" w:eastAsia="宋体" w:cs="宋体"/>
                <w:kern w:val="0"/>
                <w:sz w:val="21"/>
                <w:szCs w:val="21"/>
                <w:highlight w:val="none"/>
              </w:rPr>
            </w:pPr>
          </w:p>
        </w:tc>
        <w:tc>
          <w:tcPr>
            <w:tcW w:w="2550" w:type="dxa"/>
            <w:gridSpan w:val="2"/>
          </w:tcPr>
          <w:p>
            <w:pPr>
              <w:adjustRightInd w:val="0"/>
              <w:snapToGrid w:val="0"/>
              <w:spacing w:line="360" w:lineRule="auto"/>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rPr>
        <w:tc>
          <w:tcPr>
            <w:tcW w:w="1183" w:type="dxa"/>
            <w:vMerge w:val="continue"/>
          </w:tcPr>
          <w:p>
            <w:pPr>
              <w:adjustRightInd w:val="0"/>
              <w:snapToGrid w:val="0"/>
              <w:spacing w:line="360" w:lineRule="auto"/>
              <w:rPr>
                <w:rFonts w:hint="eastAsia" w:ascii="宋体" w:hAnsi="宋体" w:eastAsia="宋体" w:cs="宋体"/>
                <w:kern w:val="0"/>
                <w:sz w:val="21"/>
                <w:szCs w:val="21"/>
                <w:highlight w:val="none"/>
              </w:rPr>
            </w:pPr>
          </w:p>
        </w:tc>
        <w:tc>
          <w:tcPr>
            <w:tcW w:w="1942" w:type="dxa"/>
            <w:gridSpan w:val="2"/>
          </w:tcPr>
          <w:p>
            <w:pPr>
              <w:adjustRightInd w:val="0"/>
              <w:snapToGrid w:val="0"/>
              <w:spacing w:line="360" w:lineRule="auto"/>
              <w:rPr>
                <w:rFonts w:hint="eastAsia" w:ascii="宋体" w:hAnsi="宋体" w:eastAsia="宋体" w:cs="宋体"/>
                <w:kern w:val="0"/>
                <w:sz w:val="21"/>
                <w:szCs w:val="21"/>
                <w:highlight w:val="none"/>
              </w:rPr>
            </w:pPr>
          </w:p>
        </w:tc>
        <w:tc>
          <w:tcPr>
            <w:tcW w:w="1205" w:type="dxa"/>
          </w:tcPr>
          <w:p>
            <w:pPr>
              <w:adjustRightInd w:val="0"/>
              <w:snapToGrid w:val="0"/>
              <w:spacing w:line="360" w:lineRule="auto"/>
              <w:rPr>
                <w:rFonts w:hint="eastAsia" w:ascii="宋体" w:hAnsi="宋体" w:eastAsia="宋体" w:cs="宋体"/>
                <w:kern w:val="0"/>
                <w:sz w:val="21"/>
                <w:szCs w:val="21"/>
                <w:highlight w:val="none"/>
              </w:rPr>
            </w:pPr>
          </w:p>
        </w:tc>
        <w:tc>
          <w:tcPr>
            <w:tcW w:w="1160" w:type="dxa"/>
          </w:tcPr>
          <w:p>
            <w:pPr>
              <w:adjustRightInd w:val="0"/>
              <w:snapToGrid w:val="0"/>
              <w:spacing w:line="360" w:lineRule="auto"/>
              <w:rPr>
                <w:rFonts w:hint="eastAsia" w:ascii="宋体" w:hAnsi="宋体" w:eastAsia="宋体" w:cs="宋体"/>
                <w:kern w:val="0"/>
                <w:sz w:val="21"/>
                <w:szCs w:val="21"/>
                <w:highlight w:val="none"/>
              </w:rPr>
            </w:pPr>
          </w:p>
        </w:tc>
        <w:tc>
          <w:tcPr>
            <w:tcW w:w="1249" w:type="dxa"/>
          </w:tcPr>
          <w:p>
            <w:pPr>
              <w:adjustRightInd w:val="0"/>
              <w:snapToGrid w:val="0"/>
              <w:spacing w:line="360" w:lineRule="auto"/>
              <w:rPr>
                <w:rFonts w:hint="eastAsia" w:ascii="宋体" w:hAnsi="宋体" w:eastAsia="宋体" w:cs="宋体"/>
                <w:kern w:val="0"/>
                <w:sz w:val="21"/>
                <w:szCs w:val="21"/>
                <w:highlight w:val="none"/>
              </w:rPr>
            </w:pPr>
          </w:p>
        </w:tc>
        <w:tc>
          <w:tcPr>
            <w:tcW w:w="2550" w:type="dxa"/>
            <w:gridSpan w:val="2"/>
          </w:tcPr>
          <w:p>
            <w:pPr>
              <w:adjustRightInd w:val="0"/>
              <w:snapToGrid w:val="0"/>
              <w:spacing w:line="360" w:lineRule="auto"/>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183" w:type="dxa"/>
            <w:vMerge w:val="continue"/>
          </w:tcPr>
          <w:p>
            <w:pPr>
              <w:adjustRightInd w:val="0"/>
              <w:snapToGrid w:val="0"/>
              <w:spacing w:line="360" w:lineRule="auto"/>
              <w:rPr>
                <w:rFonts w:hint="eastAsia" w:ascii="宋体" w:hAnsi="宋体" w:eastAsia="宋体" w:cs="宋体"/>
                <w:kern w:val="0"/>
                <w:sz w:val="21"/>
                <w:szCs w:val="21"/>
                <w:highlight w:val="none"/>
              </w:rPr>
            </w:pPr>
          </w:p>
        </w:tc>
        <w:tc>
          <w:tcPr>
            <w:tcW w:w="1942" w:type="dxa"/>
            <w:gridSpan w:val="2"/>
          </w:tcPr>
          <w:p>
            <w:pPr>
              <w:adjustRightInd w:val="0"/>
              <w:snapToGrid w:val="0"/>
              <w:spacing w:line="360" w:lineRule="auto"/>
              <w:rPr>
                <w:rFonts w:hint="eastAsia" w:ascii="宋体" w:hAnsi="宋体" w:eastAsia="宋体" w:cs="宋体"/>
                <w:kern w:val="0"/>
                <w:sz w:val="21"/>
                <w:szCs w:val="21"/>
                <w:highlight w:val="none"/>
              </w:rPr>
            </w:pPr>
          </w:p>
        </w:tc>
        <w:tc>
          <w:tcPr>
            <w:tcW w:w="1205" w:type="dxa"/>
          </w:tcPr>
          <w:p>
            <w:pPr>
              <w:adjustRightInd w:val="0"/>
              <w:snapToGrid w:val="0"/>
              <w:spacing w:line="360" w:lineRule="auto"/>
              <w:rPr>
                <w:rFonts w:hint="eastAsia" w:ascii="宋体" w:hAnsi="宋体" w:eastAsia="宋体" w:cs="宋体"/>
                <w:kern w:val="0"/>
                <w:sz w:val="21"/>
                <w:szCs w:val="21"/>
                <w:highlight w:val="none"/>
              </w:rPr>
            </w:pPr>
          </w:p>
        </w:tc>
        <w:tc>
          <w:tcPr>
            <w:tcW w:w="1160" w:type="dxa"/>
          </w:tcPr>
          <w:p>
            <w:pPr>
              <w:adjustRightInd w:val="0"/>
              <w:snapToGrid w:val="0"/>
              <w:spacing w:line="360" w:lineRule="auto"/>
              <w:rPr>
                <w:rFonts w:hint="eastAsia" w:ascii="宋体" w:hAnsi="宋体" w:eastAsia="宋体" w:cs="宋体"/>
                <w:kern w:val="0"/>
                <w:sz w:val="21"/>
                <w:szCs w:val="21"/>
                <w:highlight w:val="none"/>
              </w:rPr>
            </w:pPr>
          </w:p>
        </w:tc>
        <w:tc>
          <w:tcPr>
            <w:tcW w:w="1249" w:type="dxa"/>
          </w:tcPr>
          <w:p>
            <w:pPr>
              <w:adjustRightInd w:val="0"/>
              <w:snapToGrid w:val="0"/>
              <w:spacing w:line="360" w:lineRule="auto"/>
              <w:rPr>
                <w:rFonts w:hint="eastAsia" w:ascii="宋体" w:hAnsi="宋体" w:eastAsia="宋体" w:cs="宋体"/>
                <w:kern w:val="0"/>
                <w:sz w:val="21"/>
                <w:szCs w:val="21"/>
                <w:highlight w:val="none"/>
              </w:rPr>
            </w:pPr>
          </w:p>
        </w:tc>
        <w:tc>
          <w:tcPr>
            <w:tcW w:w="2550" w:type="dxa"/>
            <w:gridSpan w:val="2"/>
          </w:tcPr>
          <w:p>
            <w:pPr>
              <w:adjustRightInd w:val="0"/>
              <w:snapToGrid w:val="0"/>
              <w:spacing w:line="360" w:lineRule="auto"/>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3" w:type="dxa"/>
            <w:vMerge w:val="restart"/>
            <w:vAlign w:val="center"/>
          </w:tcPr>
          <w:p>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四、措施项目费合计的异常报价分析</w:t>
            </w:r>
          </w:p>
        </w:tc>
        <w:tc>
          <w:tcPr>
            <w:tcW w:w="1942" w:type="dxa"/>
            <w:gridSpan w:val="2"/>
            <w:vAlign w:val="center"/>
          </w:tcPr>
          <w:p>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措施项目费投标价合计（元）</w:t>
            </w:r>
          </w:p>
        </w:tc>
        <w:tc>
          <w:tcPr>
            <w:tcW w:w="1205" w:type="dxa"/>
            <w:vAlign w:val="center"/>
          </w:tcPr>
          <w:p>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招标控制价合计（元）</w:t>
            </w:r>
          </w:p>
        </w:tc>
        <w:tc>
          <w:tcPr>
            <w:tcW w:w="1160" w:type="dxa"/>
            <w:vAlign w:val="center"/>
          </w:tcPr>
          <w:p>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下浮率（%）</w:t>
            </w:r>
          </w:p>
        </w:tc>
        <w:tc>
          <w:tcPr>
            <w:tcW w:w="3799" w:type="dxa"/>
            <w:gridSpan w:val="3"/>
            <w:vAlign w:val="center"/>
          </w:tcPr>
          <w:p>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措施项目投标报价偏离度（C=投标总价净下浮率-措施项目费相对招标控制价下浮率）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3" w:type="dxa"/>
            <w:vMerge w:val="continue"/>
          </w:tcPr>
          <w:p>
            <w:pPr>
              <w:adjustRightInd w:val="0"/>
              <w:snapToGrid w:val="0"/>
              <w:spacing w:line="360" w:lineRule="auto"/>
              <w:rPr>
                <w:rFonts w:hint="eastAsia" w:ascii="宋体" w:hAnsi="宋体" w:eastAsia="宋体" w:cs="宋体"/>
                <w:kern w:val="0"/>
                <w:sz w:val="21"/>
                <w:szCs w:val="21"/>
                <w:highlight w:val="none"/>
              </w:rPr>
            </w:pPr>
          </w:p>
        </w:tc>
        <w:tc>
          <w:tcPr>
            <w:tcW w:w="1942" w:type="dxa"/>
            <w:gridSpan w:val="2"/>
          </w:tcPr>
          <w:p>
            <w:pPr>
              <w:adjustRightInd w:val="0"/>
              <w:snapToGrid w:val="0"/>
              <w:spacing w:line="360" w:lineRule="auto"/>
              <w:rPr>
                <w:rFonts w:hint="eastAsia" w:ascii="宋体" w:hAnsi="宋体" w:eastAsia="宋体" w:cs="宋体"/>
                <w:kern w:val="0"/>
                <w:sz w:val="21"/>
                <w:szCs w:val="21"/>
                <w:highlight w:val="none"/>
              </w:rPr>
            </w:pPr>
          </w:p>
        </w:tc>
        <w:tc>
          <w:tcPr>
            <w:tcW w:w="1205" w:type="dxa"/>
          </w:tcPr>
          <w:p>
            <w:pPr>
              <w:adjustRightInd w:val="0"/>
              <w:snapToGrid w:val="0"/>
              <w:spacing w:line="360" w:lineRule="auto"/>
              <w:rPr>
                <w:rFonts w:hint="eastAsia" w:ascii="宋体" w:hAnsi="宋体" w:eastAsia="宋体" w:cs="宋体"/>
                <w:kern w:val="0"/>
                <w:sz w:val="21"/>
                <w:szCs w:val="21"/>
                <w:highlight w:val="none"/>
              </w:rPr>
            </w:pPr>
          </w:p>
        </w:tc>
        <w:tc>
          <w:tcPr>
            <w:tcW w:w="1160" w:type="dxa"/>
          </w:tcPr>
          <w:p>
            <w:pPr>
              <w:adjustRightInd w:val="0"/>
              <w:snapToGrid w:val="0"/>
              <w:spacing w:line="360" w:lineRule="auto"/>
              <w:rPr>
                <w:rFonts w:hint="eastAsia" w:ascii="宋体" w:hAnsi="宋体" w:eastAsia="宋体" w:cs="宋体"/>
                <w:kern w:val="0"/>
                <w:sz w:val="21"/>
                <w:szCs w:val="21"/>
                <w:highlight w:val="none"/>
              </w:rPr>
            </w:pPr>
          </w:p>
        </w:tc>
        <w:tc>
          <w:tcPr>
            <w:tcW w:w="1249" w:type="dxa"/>
          </w:tcPr>
          <w:p>
            <w:pPr>
              <w:adjustRightInd w:val="0"/>
              <w:snapToGrid w:val="0"/>
              <w:spacing w:line="360" w:lineRule="auto"/>
              <w:rPr>
                <w:rFonts w:hint="eastAsia" w:ascii="宋体" w:hAnsi="宋体" w:eastAsia="宋体" w:cs="宋体"/>
                <w:kern w:val="0"/>
                <w:sz w:val="21"/>
                <w:szCs w:val="21"/>
                <w:highlight w:val="none"/>
              </w:rPr>
            </w:pPr>
          </w:p>
        </w:tc>
        <w:tc>
          <w:tcPr>
            <w:tcW w:w="2550" w:type="dxa"/>
            <w:gridSpan w:val="2"/>
          </w:tcPr>
          <w:p>
            <w:pPr>
              <w:adjustRightInd w:val="0"/>
              <w:snapToGrid w:val="0"/>
              <w:spacing w:line="360" w:lineRule="auto"/>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3" w:type="dxa"/>
          </w:tcPr>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五、其他报价问题以及对合同签订、履行过程中的风险警示</w:t>
            </w:r>
          </w:p>
        </w:tc>
        <w:tc>
          <w:tcPr>
            <w:tcW w:w="8106" w:type="dxa"/>
            <w:gridSpan w:val="7"/>
          </w:tcPr>
          <w:p>
            <w:pPr>
              <w:adjustRightInd w:val="0"/>
              <w:snapToGrid w:val="0"/>
              <w:spacing w:line="360" w:lineRule="auto"/>
              <w:rPr>
                <w:rFonts w:hint="eastAsia" w:ascii="宋体" w:hAnsi="宋体" w:eastAsia="宋体" w:cs="宋体"/>
                <w:kern w:val="0"/>
                <w:sz w:val="21"/>
                <w:szCs w:val="21"/>
                <w:highlight w:val="none"/>
              </w:rPr>
            </w:pPr>
          </w:p>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投标文件商务标还存在</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等其他报价问题，并对合同签订、履行过程中的风险提出如下警示：</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3" w:type="dxa"/>
          </w:tcPr>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六、评审结论</w:t>
            </w:r>
          </w:p>
        </w:tc>
        <w:tc>
          <w:tcPr>
            <w:tcW w:w="8106" w:type="dxa"/>
            <w:gridSpan w:val="7"/>
          </w:tcPr>
          <w:p>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□合格       □不合格</w:t>
            </w:r>
          </w:p>
        </w:tc>
      </w:tr>
    </w:tbl>
    <w:p>
      <w:pPr>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评标专家：                               评标日期：    年   月   日</w:t>
      </w:r>
    </w:p>
    <w:p>
      <w:pPr>
        <w:adjustRightInd w:val="0"/>
        <w:snapToGrid w:val="0"/>
        <w:spacing w:line="360" w:lineRule="auto"/>
        <w:ind w:firstLine="420" w:firstLineChars="200"/>
        <w:rPr>
          <w:rFonts w:hint="eastAsia" w:ascii="宋体" w:hAnsi="宋体" w:eastAsia="宋体" w:cs="宋体"/>
          <w:sz w:val="21"/>
          <w:szCs w:val="21"/>
          <w:highlight w:val="none"/>
        </w:rPr>
      </w:pPr>
    </w:p>
    <w:p>
      <w:pPr>
        <w:adjustRightInd w:val="0"/>
        <w:snapToGrid w:val="0"/>
        <w:spacing w:line="360" w:lineRule="auto"/>
        <w:jc w:val="center"/>
        <w:rPr>
          <w:rFonts w:hint="eastAsia" w:ascii="宋体" w:hAnsi="宋体" w:eastAsia="宋体" w:cs="宋体"/>
          <w:b/>
          <w:sz w:val="30"/>
          <w:szCs w:val="30"/>
          <w:highlight w:val="none"/>
        </w:rPr>
      </w:pPr>
      <w:bookmarkStart w:id="13" w:name="定性评审法"/>
      <w:r>
        <w:rPr>
          <w:rFonts w:hint="eastAsia" w:ascii="宋体" w:hAnsi="宋体" w:eastAsia="宋体" w:cs="宋体"/>
          <w:b/>
          <w:sz w:val="30"/>
          <w:szCs w:val="30"/>
          <w:highlight w:val="none"/>
        </w:rPr>
        <w:t>技术标定性评审表</w:t>
      </w:r>
    </w:p>
    <w:p>
      <w:pPr>
        <w:adjustRightInd w:val="0"/>
        <w:snapToGrid w:val="0"/>
        <w:spacing w:line="360" w:lineRule="auto"/>
        <w:rPr>
          <w:rFonts w:hint="eastAsia" w:ascii="宋体" w:hAnsi="宋体" w:eastAsia="宋体" w:cs="宋体"/>
          <w:b/>
          <w:sz w:val="21"/>
          <w:szCs w:val="21"/>
          <w:highlight w:val="none"/>
        </w:rPr>
      </w:pPr>
      <w:r>
        <w:rPr>
          <w:rFonts w:hint="eastAsia" w:ascii="宋体" w:hAnsi="宋体" w:eastAsia="宋体" w:cs="宋体"/>
          <w:sz w:val="21"/>
          <w:szCs w:val="21"/>
          <w:highlight w:val="none"/>
        </w:rPr>
        <w:t>标段名称：                                       投标单位：</w:t>
      </w:r>
    </w:p>
    <w:tbl>
      <w:tblPr>
        <w:tblStyle w:val="39"/>
        <w:tblW w:w="955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694"/>
        <w:gridCol w:w="1700"/>
        <w:gridCol w:w="1274"/>
        <w:gridCol w:w="4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5"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序号</w:t>
            </w:r>
          </w:p>
        </w:tc>
        <w:tc>
          <w:tcPr>
            <w:tcW w:w="1694"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评审项目</w:t>
            </w:r>
          </w:p>
        </w:tc>
        <w:tc>
          <w:tcPr>
            <w:tcW w:w="1700"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评审内容</w:t>
            </w:r>
          </w:p>
        </w:tc>
        <w:tc>
          <w:tcPr>
            <w:tcW w:w="1274"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优点</w:t>
            </w:r>
          </w:p>
        </w:tc>
        <w:tc>
          <w:tcPr>
            <w:tcW w:w="4209"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存在缺陷或签订合同前应注意和澄清事项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5" w:type="dxa"/>
            <w:shd w:val="clear" w:color="auto" w:fill="auto"/>
            <w:vAlign w:val="center"/>
          </w:tcPr>
          <w:p>
            <w:pPr>
              <w:adjustRightInd w:val="0"/>
              <w:snapToGrid w:val="0"/>
              <w:spacing w:line="360" w:lineRule="auto"/>
              <w:jc w:val="center"/>
              <w:rPr>
                <w:rFonts w:hint="eastAsia" w:ascii="宋体" w:hAnsi="宋体" w:eastAsia="宋体" w:cs="宋体"/>
                <w:kern w:val="0"/>
                <w:sz w:val="21"/>
                <w:szCs w:val="21"/>
                <w:highlight w:val="none"/>
              </w:rPr>
            </w:pPr>
            <w:bookmarkStart w:id="14" w:name="定性评审法2" w:colFirst="0" w:colLast="0"/>
          </w:p>
        </w:tc>
        <w:tc>
          <w:tcPr>
            <w:tcW w:w="1694" w:type="dxa"/>
            <w:shd w:val="clear" w:color="auto" w:fill="auto"/>
            <w:vAlign w:val="center"/>
          </w:tcPr>
          <w:p>
            <w:pPr>
              <w:adjustRightInd w:val="0"/>
              <w:snapToGrid w:val="0"/>
              <w:spacing w:line="360" w:lineRule="auto"/>
              <w:jc w:val="left"/>
              <w:rPr>
                <w:rFonts w:hint="eastAsia" w:ascii="宋体" w:hAnsi="宋体" w:eastAsia="宋体" w:cs="宋体"/>
                <w:kern w:val="0"/>
                <w:sz w:val="21"/>
                <w:szCs w:val="21"/>
                <w:highlight w:val="none"/>
              </w:rPr>
            </w:pPr>
          </w:p>
        </w:tc>
        <w:tc>
          <w:tcPr>
            <w:tcW w:w="1700" w:type="dxa"/>
            <w:shd w:val="clear" w:color="auto" w:fill="auto"/>
            <w:vAlign w:val="center"/>
          </w:tcPr>
          <w:p>
            <w:pPr>
              <w:adjustRightInd w:val="0"/>
              <w:snapToGrid w:val="0"/>
              <w:spacing w:line="360" w:lineRule="auto"/>
              <w:jc w:val="left"/>
              <w:rPr>
                <w:rFonts w:hint="eastAsia" w:ascii="宋体" w:hAnsi="宋体" w:eastAsia="宋体" w:cs="宋体"/>
                <w:kern w:val="0"/>
                <w:sz w:val="21"/>
                <w:szCs w:val="21"/>
                <w:highlight w:val="none"/>
              </w:rPr>
            </w:pPr>
          </w:p>
        </w:tc>
        <w:tc>
          <w:tcPr>
            <w:tcW w:w="1274" w:type="dxa"/>
            <w:shd w:val="clear" w:color="auto" w:fill="auto"/>
            <w:vAlign w:val="center"/>
          </w:tcPr>
          <w:p>
            <w:pPr>
              <w:adjustRightInd w:val="0"/>
              <w:snapToGrid w:val="0"/>
              <w:spacing w:line="360" w:lineRule="auto"/>
              <w:jc w:val="left"/>
              <w:rPr>
                <w:rFonts w:hint="eastAsia" w:ascii="宋体" w:hAnsi="宋体" w:eastAsia="宋体" w:cs="宋体"/>
                <w:kern w:val="0"/>
                <w:sz w:val="21"/>
                <w:szCs w:val="21"/>
                <w:highlight w:val="none"/>
              </w:rPr>
            </w:pPr>
          </w:p>
        </w:tc>
        <w:tc>
          <w:tcPr>
            <w:tcW w:w="4209" w:type="dxa"/>
            <w:shd w:val="clear" w:color="auto" w:fill="auto"/>
            <w:vAlign w:val="center"/>
          </w:tcPr>
          <w:p>
            <w:pPr>
              <w:adjustRightInd w:val="0"/>
              <w:snapToGrid w:val="0"/>
              <w:spacing w:line="360" w:lineRule="auto"/>
              <w:jc w:val="center"/>
              <w:rPr>
                <w:rFonts w:hint="eastAsia" w:ascii="宋体" w:hAnsi="宋体" w:eastAsia="宋体" w:cs="宋体"/>
                <w:kern w:val="0"/>
                <w:sz w:val="21"/>
                <w:szCs w:val="21"/>
                <w:highlight w:val="none"/>
              </w:rPr>
            </w:pPr>
          </w:p>
        </w:tc>
      </w:tr>
      <w:bookmark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9552" w:type="dxa"/>
            <w:gridSpan w:val="5"/>
            <w:shd w:val="clear" w:color="auto" w:fill="auto"/>
            <w:vAlign w:val="center"/>
          </w:tcPr>
          <w:p>
            <w:pPr>
              <w:adjustRightInd w:val="0"/>
              <w:snapToGrid w:val="0"/>
              <w:spacing w:line="360" w:lineRule="auto"/>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综合评价等级：□合格    □不合格</w:t>
            </w:r>
          </w:p>
        </w:tc>
      </w:tr>
    </w:tbl>
    <w:p>
      <w:pPr>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评标专家：                           评标日期：    年  月  日</w:t>
      </w:r>
    </w:p>
    <w:p>
      <w:pPr>
        <w:adjustRightInd w:val="0"/>
        <w:snapToGrid w:val="0"/>
        <w:spacing w:line="360" w:lineRule="auto"/>
        <w:rPr>
          <w:rFonts w:hint="eastAsia" w:ascii="宋体" w:hAnsi="宋体" w:eastAsia="宋体" w:cs="宋体"/>
          <w:b/>
          <w:sz w:val="21"/>
          <w:szCs w:val="21"/>
          <w:highlight w:val="none"/>
        </w:rPr>
      </w:pPr>
    </w:p>
    <w:p>
      <w:pPr>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备注：</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1、本表适用于专家独立评审使用；</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2、指出各评审项的优点、存在缺陷或签订合同前应注意和澄清事项；</w:t>
      </w:r>
    </w:p>
    <w:p>
      <w:pPr>
        <w:adjustRightInd w:val="0"/>
        <w:snapToGrid w:val="0"/>
        <w:spacing w:line="360" w:lineRule="auto"/>
        <w:ind w:firstLine="420" w:firstLineChars="200"/>
        <w:rPr>
          <w:szCs w:val="21"/>
          <w:highlight w:val="none"/>
        </w:rPr>
      </w:pPr>
      <w:r>
        <w:rPr>
          <w:rFonts w:hint="eastAsia" w:ascii="宋体" w:hAnsi="宋体" w:eastAsia="宋体" w:cs="宋体"/>
          <w:sz w:val="21"/>
          <w:szCs w:val="21"/>
          <w:highlight w:val="none"/>
        </w:rPr>
        <w:t>3、综合评价等级仅分为合格或不合格两个等级，不合格仅限于符合招标文件废标、无效标情形以及投标文件违反国家强制性条文标准的情形。</w:t>
      </w:r>
    </w:p>
    <w:bookmarkEnd w:id="13"/>
    <w:p>
      <w:pPr>
        <w:pStyle w:val="4"/>
        <w:keepNext w:val="0"/>
        <w:keepLines w:val="0"/>
        <w:widowControl w:val="0"/>
        <w:tabs>
          <w:tab w:val="left" w:pos="720"/>
          <w:tab w:val="left" w:pos="4032"/>
        </w:tabs>
        <w:adjustRightInd w:val="0"/>
        <w:snapToGrid w:val="0"/>
        <w:spacing w:before="0" w:after="0" w:line="360" w:lineRule="auto"/>
        <w:jc w:val="center"/>
        <w:rPr>
          <w:rFonts w:hint="eastAsia" w:ascii="宋体" w:hAnsi="宋体" w:eastAsia="宋体" w:cs="宋体"/>
          <w:b/>
          <w:bCs w:val="0"/>
          <w:sz w:val="32"/>
          <w:szCs w:val="32"/>
          <w:highlight w:val="none"/>
          <w:lang w:val="en-US" w:eastAsia="zh-CN"/>
        </w:rPr>
      </w:pPr>
      <w:bookmarkStart w:id="15" w:name="_Toc17365"/>
      <w:r>
        <w:rPr>
          <w:rFonts w:hint="eastAsia" w:ascii="宋体" w:hAnsi="宋体" w:eastAsia="宋体" w:cs="宋体"/>
          <w:b/>
          <w:bCs w:val="0"/>
          <w:sz w:val="32"/>
          <w:szCs w:val="32"/>
          <w:highlight w:val="none"/>
          <w:lang w:val="en-US" w:eastAsia="zh-CN"/>
        </w:rPr>
        <w:t>（六）定标</w:t>
      </w:r>
      <w:bookmarkEnd w:id="15"/>
    </w:p>
    <w:p>
      <w:pPr>
        <w:adjustRightInd w:val="0"/>
        <w:snapToGrid w:val="0"/>
        <w:spacing w:line="360" w:lineRule="auto"/>
        <w:ind w:firstLine="422" w:firstLineChars="200"/>
        <w:rPr>
          <w:rFonts w:hint="eastAsia" w:ascii="宋体" w:hAnsi="宋体" w:eastAsia="宋体" w:cs="宋体"/>
          <w:sz w:val="21"/>
          <w:szCs w:val="21"/>
          <w:highlight w:val="none"/>
        </w:rPr>
      </w:pPr>
      <w:r>
        <w:rPr>
          <w:rFonts w:hint="eastAsia" w:ascii="宋体" w:hAnsi="宋体" w:eastAsia="宋体" w:cs="宋体"/>
          <w:b/>
          <w:bCs/>
          <w:sz w:val="21"/>
          <w:szCs w:val="21"/>
          <w:highlight w:val="none"/>
        </w:rPr>
        <w:t>41.</w:t>
      </w:r>
      <w:r>
        <w:rPr>
          <w:rFonts w:hint="eastAsia" w:ascii="宋体" w:hAnsi="宋体" w:eastAsia="宋体" w:cs="宋体"/>
          <w:sz w:val="21"/>
          <w:szCs w:val="21"/>
          <w:highlight w:val="none"/>
        </w:rPr>
        <w:t xml:space="preserve"> </w:t>
      </w:r>
      <w:r>
        <w:rPr>
          <w:rFonts w:hint="eastAsia" w:ascii="宋体" w:hAnsi="宋体" w:eastAsia="宋体" w:cs="宋体"/>
          <w:b/>
          <w:bCs/>
          <w:sz w:val="21"/>
          <w:szCs w:val="21"/>
          <w:highlight w:val="none"/>
        </w:rPr>
        <w:t>定标方法</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招标人在定标过程中，应当坚持择优与竞价相结合，择优为主。限制采用直接抽签方式进行定标。招标人应采用下列方法在评标委员会推荐的合格投标人中确定中标人：</w:t>
      </w:r>
    </w:p>
    <w:p>
      <w:pPr>
        <w:adjustRightInd w:val="0"/>
        <w:snapToGrid w:val="0"/>
        <w:spacing w:line="360" w:lineRule="auto"/>
        <w:ind w:firstLine="422" w:firstLineChars="200"/>
        <w:rPr>
          <w:rFonts w:hint="eastAsia" w:ascii="宋体" w:hAnsi="宋体" w:eastAsia="宋体" w:cs="宋体"/>
          <w:sz w:val="21"/>
          <w:szCs w:val="21"/>
          <w:highlight w:val="none"/>
        </w:rPr>
      </w:pPr>
      <w:bookmarkStart w:id="16" w:name="票决定标法"/>
      <w:r>
        <w:rPr>
          <w:rFonts w:hint="eastAsia" w:ascii="宋体" w:hAnsi="宋体" w:eastAsia="宋体" w:cs="宋体"/>
          <w:b/>
          <w:sz w:val="21"/>
          <w:szCs w:val="21"/>
          <w:highlight w:val="none"/>
        </w:rPr>
        <w:t>41.1票决定标法</w:t>
      </w:r>
    </w:p>
    <w:p>
      <w:pPr>
        <w:adjustRightInd w:val="0"/>
        <w:snapToGrid w:val="0"/>
        <w:spacing w:line="360" w:lineRule="auto"/>
        <w:ind w:firstLine="422" w:firstLineChars="200"/>
        <w:rPr>
          <w:rFonts w:hint="eastAsia" w:ascii="宋体" w:hAnsi="宋体" w:eastAsia="宋体" w:cs="宋体"/>
          <w:b/>
          <w:sz w:val="21"/>
          <w:szCs w:val="21"/>
          <w:highlight w:val="none"/>
        </w:rPr>
      </w:pPr>
      <w:bookmarkStart w:id="17" w:name="直接票决定标"/>
      <w:r>
        <w:rPr>
          <w:rFonts w:hint="eastAsia" w:ascii="宋体" w:hAnsi="宋体" w:eastAsia="宋体" w:cs="宋体"/>
          <w:b/>
          <w:sz w:val="21"/>
          <w:szCs w:val="21"/>
          <w:highlight w:val="none"/>
        </w:rPr>
        <w:t>41.1.1直接票决定标【简单多数（且过半数）】</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招标人组建的定标委员会在进入投票范围的投标人中，以每人投票支持一个投标人的方式，得票最多且过半数的投标人为中标人。</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当没有投标人得票超过半数时，选择得票较多的2个投标人（按上一轮得票多少的顺序选择，在选择第2个投标人时出现同票的投标人时，所有同票投标人一并纳入下一轮的投票范围）作为二次投票的范围，直至出现得票过半数的投标人为止。</w:t>
      </w:r>
    </w:p>
    <w:bookmarkEnd w:id="17"/>
    <w:p>
      <w:pPr>
        <w:adjustRightInd w:val="0"/>
        <w:snapToGrid w:val="0"/>
        <w:spacing w:line="360" w:lineRule="auto"/>
        <w:ind w:firstLine="413" w:firstLineChars="196"/>
        <w:rPr>
          <w:rFonts w:hint="eastAsia" w:ascii="宋体" w:hAnsi="宋体" w:eastAsia="宋体" w:cs="宋体"/>
          <w:b/>
          <w:sz w:val="21"/>
          <w:szCs w:val="21"/>
          <w:highlight w:val="none"/>
        </w:rPr>
      </w:pPr>
      <w:bookmarkStart w:id="18" w:name="逐轮票决定标"/>
      <w:r>
        <w:rPr>
          <w:rFonts w:hint="eastAsia" w:ascii="宋体" w:hAnsi="宋体" w:eastAsia="宋体" w:cs="宋体"/>
          <w:b/>
          <w:sz w:val="21"/>
          <w:szCs w:val="21"/>
          <w:highlight w:val="none"/>
        </w:rPr>
        <w:t>41.1.2逐轮票决定标（先票决后淘汰）</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招标人组建的定标委员会在进入投票范围的投标人中，以每人投票支持3个投标人的方式，得票最多的3个投标人进入下一轮的淘汰投票。在确定第3个投标人时如果出现同票的，则得票相同的投标人一并进入下一轮的淘汰投票。</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原则上每轮淘汰1名投标人。各轮投票时，每人投1个淘汰单位，该轮得票最多的投标人被淘汰。得票最多的投标人不止1个时，一并加以淘汰，但必须确保第一次淘汰之后剩余的投标人不少于2名，否则在得票最多的几个投标人中按前述规则进行二次淘汰，剩余的投标人进入下一轮淘汰投票。</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根据前述规则，直至剩余1名投标人为中标人。</w:t>
      </w:r>
    </w:p>
    <w:bookmarkEnd w:id="16"/>
    <w:bookmarkEnd w:id="18"/>
    <w:p>
      <w:pPr>
        <w:adjustRightInd w:val="0"/>
        <w:snapToGrid w:val="0"/>
        <w:spacing w:line="360" w:lineRule="auto"/>
        <w:ind w:firstLine="422" w:firstLineChars="200"/>
        <w:rPr>
          <w:rFonts w:hint="eastAsia" w:ascii="宋体" w:hAnsi="宋体" w:eastAsia="宋体" w:cs="宋体"/>
          <w:sz w:val="21"/>
          <w:szCs w:val="21"/>
          <w:highlight w:val="none"/>
        </w:rPr>
      </w:pPr>
      <w:bookmarkStart w:id="19" w:name="票决抽签定标"/>
      <w:r>
        <w:rPr>
          <w:rFonts w:hint="eastAsia" w:ascii="宋体" w:hAnsi="宋体" w:eastAsia="宋体" w:cs="宋体"/>
          <w:b/>
          <w:sz w:val="21"/>
          <w:szCs w:val="21"/>
          <w:highlight w:val="none"/>
        </w:rPr>
        <w:t>41.2票决抽签定标法【简单多数（且过半数）】</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招标人组建的定标委员会在进入投票范围的投标人中，以每人投票支持N（N为前附表“定标方法”中对应的数值）个投标人的方式，得票较多的N个投标人（最终得票均须超过半数）进入抽签环节。</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当得票超过半数的投标人数量不足N时（假设此时得票超过半数投标人数量为n），按照前一轮得票数量由多到少的顺序，在得票未过半数的投标人中，取“N-n+2”个投标人进行二次投票（在取第“N-n+2”个投标人时出现同票的，一并进入二次投票），以每人投票支持“N-n”个投标人，直至确定N个得票超过半数的投标人为止。</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当得票超过半数的投标人数量大于N时，按照前一轮得票多少的顺序选择，投票结果中排序出现并列情形的，不影响结果的投标人无需再次投票，影响到结果的投标人将进行下一轮投票，直至确定N个得票超过半数的投标人为止。</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在票决定标法、票决抽签定标法投票过程中，当出现前述方法没有约定的情形时，优先参照前述已有方法进行处理，如果前述已有方法无法参照，选取进入下一轮投票单位时，取投标报价较低的投标人，在剔除进入下一轮投票单位时，剔除投标报价较高的投标人。定标委员会也可根据本款原则在投票之前先确定相关规则，再根据事先确定的规则进行投票。</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票决抽签定标法由招标人在</w:t>
      </w:r>
      <w:r>
        <w:rPr>
          <w:rFonts w:hint="eastAsia" w:ascii="宋体" w:hAnsi="宋体" w:eastAsia="宋体" w:cs="宋体"/>
          <w:sz w:val="21"/>
          <w:szCs w:val="21"/>
          <w:highlight w:val="none"/>
          <w:lang w:eastAsia="zh-CN"/>
        </w:rPr>
        <w:t>深圳交易集团有限公司（深圳公共资源交易中心）</w:t>
      </w:r>
      <w:r>
        <w:rPr>
          <w:rFonts w:hint="eastAsia" w:ascii="宋体" w:hAnsi="宋体" w:eastAsia="宋体" w:cs="宋体"/>
          <w:sz w:val="21"/>
          <w:szCs w:val="21"/>
          <w:highlight w:val="none"/>
        </w:rPr>
        <w:t>80个号码的抽签机中抽取中标人。把80个号码分成m组（每组为N个号码），剩余不足1组的号码不生效（如果抽出这些号码无效，需要重新抽取，比如N为3、6时，79,80号为无效号，N为7时，78-80号为无效号）。抽签之前，将参与抽签定标的N个投标人分别进行编号（按投标报价由低往高的顺序编号），分别对应“0，1，2，……，N-1”。招标人随机抽取一个有效号码，将该号码除以N，取余数，余数对应编号的投标人即为中标人。</w:t>
      </w:r>
    </w:p>
    <w:bookmarkEnd w:id="19"/>
    <w:p>
      <w:pPr>
        <w:adjustRightInd w:val="0"/>
        <w:snapToGrid w:val="0"/>
        <w:spacing w:line="360" w:lineRule="auto"/>
        <w:ind w:firstLine="422" w:firstLineChars="200"/>
        <w:rPr>
          <w:rFonts w:hint="eastAsia" w:ascii="宋体" w:hAnsi="宋体" w:eastAsia="宋体" w:cs="宋体"/>
          <w:sz w:val="21"/>
          <w:szCs w:val="21"/>
          <w:highlight w:val="none"/>
        </w:rPr>
      </w:pPr>
      <w:bookmarkStart w:id="20" w:name="集体议事法定标"/>
      <w:r>
        <w:rPr>
          <w:rFonts w:hint="eastAsia" w:ascii="宋体" w:hAnsi="宋体" w:eastAsia="宋体" w:cs="宋体"/>
          <w:b/>
          <w:sz w:val="21"/>
          <w:szCs w:val="21"/>
          <w:highlight w:val="none"/>
        </w:rPr>
        <w:t>41.3集体议事法</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由招标人组建定标委员会进行集体商议，定标委员会成员各自发表意见，由定标委员会组长最终确定中标人。所有参加会议的定标委员会成员的意见应当作书面记录，并由定标委员会成员签字确认。采用集体议事法定标的，定标委员会组长应当由招标人法定代表人或者主要负责人担任。</w:t>
      </w:r>
      <w:bookmarkEnd w:id="20"/>
    </w:p>
    <w:p>
      <w:pPr>
        <w:adjustRightInd w:val="0"/>
        <w:snapToGrid w:val="0"/>
        <w:spacing w:line="360" w:lineRule="auto"/>
        <w:ind w:firstLine="422" w:firstLineChars="200"/>
        <w:rPr>
          <w:rFonts w:hint="eastAsia" w:ascii="宋体" w:hAnsi="宋体" w:eastAsia="宋体" w:cs="宋体"/>
          <w:sz w:val="21"/>
          <w:szCs w:val="21"/>
          <w:highlight w:val="none"/>
        </w:rPr>
      </w:pPr>
      <w:r>
        <w:rPr>
          <w:rFonts w:hint="eastAsia" w:ascii="宋体" w:hAnsi="宋体" w:eastAsia="宋体" w:cs="宋体"/>
          <w:b/>
          <w:bCs/>
          <w:sz w:val="21"/>
          <w:szCs w:val="21"/>
          <w:highlight w:val="none"/>
        </w:rPr>
        <w:t>42.定标程序</w:t>
      </w:r>
    </w:p>
    <w:p>
      <w:pPr>
        <w:adjustRightInd w:val="0"/>
        <w:snapToGrid w:val="0"/>
        <w:spacing w:line="360" w:lineRule="auto"/>
        <w:ind w:firstLine="411" w:firstLineChars="196"/>
        <w:rPr>
          <w:rFonts w:hint="eastAsia" w:ascii="宋体" w:hAnsi="宋体" w:eastAsia="宋体" w:cs="宋体"/>
          <w:sz w:val="21"/>
          <w:szCs w:val="21"/>
          <w:highlight w:val="none"/>
        </w:rPr>
      </w:pPr>
      <w:r>
        <w:rPr>
          <w:rFonts w:hint="eastAsia" w:ascii="宋体" w:hAnsi="宋体" w:eastAsia="宋体" w:cs="宋体"/>
          <w:sz w:val="21"/>
          <w:szCs w:val="21"/>
          <w:highlight w:val="none"/>
        </w:rPr>
        <w:t>42.1在开展定标前，招标人可以自行或委托专业机构开展清标工作。清标工作包括对投标人及拟派项目负责人进行考察、质询，对投标文件或方案进行澄清与复核，对项目后期可能遇到的风险和问题进行评估等。清标工作完成后，招标人应当形成清标报告，作为定标的辅助。清标报告内容应当客观公正、真实有效。</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42.2招标人应当事先制定定标工作规则，对不同类别项目择优竞价结合方式、择优因素、竞价方法予以明确，并报招标人内设（或上级）的纪检监察机构（或督查机构）备案。定标时必须严格遵守定标工作规则，不得临时改变规则。</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42.3在招标公告发布前，招标人应当结合项目实际，根据定标工作规则，制定项目定标方案，并报招标人内设（或上级）的纪检监察机构（或督查机构）备案。项目定标方案应当对清标内容、定标操作细则、择优要素及优先级别等内容予以明确。</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42.4在定标环节，招标人应当遵循如下原则：按照规定可以设置同类工程经验（业绩）的工程项目，先择优后竞价；单项合同金额1亿元以下且采用通用技术的工程项目，可以先竞价后择优；</w:t>
      </w:r>
    </w:p>
    <w:p>
      <w:pPr>
        <w:adjustRightInd w:val="0"/>
        <w:snapToGrid w:val="0"/>
        <w:spacing w:line="360" w:lineRule="auto"/>
        <w:ind w:firstLine="411" w:firstLineChars="196"/>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42.5定标委员会由招标人的法定代表人或者主要负责人组建。定标委员会成员原则上从招标人、项目业主或者使用单位的领导班子成员、经营管理人员中产生，成员数量为7人以上单数。确有需要的，财</w:t>
      </w:r>
      <w:r>
        <w:rPr>
          <w:rFonts w:hint="eastAsia" w:ascii="宋体" w:hAnsi="宋体" w:eastAsia="宋体" w:cs="宋体"/>
          <w:color w:val="000000"/>
          <w:sz w:val="21"/>
          <w:szCs w:val="21"/>
          <w:highlight w:val="none"/>
        </w:rPr>
        <w:t>政性资金投资工程的招标人可以从本系统上下级主管部门或者系统外相关部门工作人员中确定成员；非财政性国有资金投资工程的招标人可以从与其有利益关系的母公司、子公司人员中确定成员。</w:t>
      </w:r>
    </w:p>
    <w:p>
      <w:pPr>
        <w:adjustRightInd w:val="0"/>
        <w:snapToGrid w:val="0"/>
        <w:spacing w:line="360" w:lineRule="auto"/>
        <w:ind w:firstLine="411" w:firstLineChars="196"/>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42.6定标委员会成员应当由招标人从2倍以上符合条件的备选人员名单中随机抽取确定。招标人法定代表人可以从本单位直接指定部分定标委员会成员，但总数不得超过定标委员会成员总数的三分之一。</w:t>
      </w:r>
    </w:p>
    <w:p>
      <w:pPr>
        <w:adjustRightInd w:val="0"/>
        <w:snapToGrid w:val="0"/>
        <w:spacing w:line="360" w:lineRule="auto"/>
        <w:ind w:firstLine="411" w:firstLineChars="196"/>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42.7定标委员会应当在定标会上推荐定标组长，招标人的法定代表人或者主要负责人参加定标委员会的，由其直接担任定标委员会组长。招标人应同时组建3人以上的监督小组，对定标全过程进行监督。</w:t>
      </w:r>
    </w:p>
    <w:p>
      <w:pPr>
        <w:adjustRightInd w:val="0"/>
        <w:snapToGrid w:val="0"/>
        <w:spacing w:line="360" w:lineRule="auto"/>
        <w:ind w:firstLine="411" w:firstLineChars="196"/>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42.8采用票决定标法、集体议事法或者票决抽签定标法的，招标人应当自评标结束后10个工作日内进入</w:t>
      </w:r>
      <w:r>
        <w:rPr>
          <w:rFonts w:hint="eastAsia" w:ascii="宋体" w:hAnsi="宋体" w:eastAsia="宋体" w:cs="宋体"/>
          <w:sz w:val="21"/>
          <w:szCs w:val="21"/>
          <w:highlight w:val="none"/>
          <w:lang w:eastAsia="zh-CN"/>
        </w:rPr>
        <w:t>深圳交易集团有限公司（深圳公共资源交易中心）</w:t>
      </w:r>
      <w:r>
        <w:rPr>
          <w:rFonts w:hint="eastAsia" w:ascii="宋体" w:hAnsi="宋体" w:eastAsia="宋体" w:cs="宋体"/>
          <w:color w:val="000000"/>
          <w:sz w:val="21"/>
          <w:szCs w:val="21"/>
          <w:highlight w:val="none"/>
        </w:rPr>
        <w:t>进行定标。不能按时定标的，应当通过交易网公示延期原因和最终定标时间。</w:t>
      </w:r>
    </w:p>
    <w:p>
      <w:pPr>
        <w:adjustRightInd w:val="0"/>
        <w:snapToGrid w:val="0"/>
        <w:spacing w:line="360" w:lineRule="auto"/>
        <w:ind w:firstLine="411" w:firstLineChars="196"/>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42.9定标委员会成员在定标系统中提交选票（须说明推荐理由），并打印选票签名确认，定标过程公开、公平、公正。定标委员会按有关规定及招标文件约定的定标方法确定一名中标人。</w:t>
      </w:r>
    </w:p>
    <w:p>
      <w:pPr>
        <w:adjustRightInd w:val="0"/>
        <w:snapToGrid w:val="0"/>
        <w:spacing w:line="360" w:lineRule="auto"/>
        <w:ind w:firstLine="411" w:firstLineChars="196"/>
        <w:rPr>
          <w:rFonts w:hint="eastAsia" w:ascii="宋体" w:hAnsi="宋体" w:eastAsia="宋体" w:cs="宋体"/>
          <w:sz w:val="21"/>
          <w:szCs w:val="21"/>
          <w:highlight w:val="none"/>
        </w:rPr>
      </w:pPr>
      <w:r>
        <w:rPr>
          <w:rFonts w:hint="eastAsia" w:ascii="宋体" w:hAnsi="宋体" w:eastAsia="宋体" w:cs="宋体"/>
          <w:sz w:val="21"/>
          <w:szCs w:val="21"/>
          <w:highlight w:val="none"/>
        </w:rPr>
        <w:t>42.10招标人应在定标结束后将定标记录、定标报告交由</w:t>
      </w:r>
      <w:r>
        <w:rPr>
          <w:rFonts w:hint="eastAsia" w:ascii="宋体" w:hAnsi="宋体" w:eastAsia="宋体" w:cs="宋体"/>
          <w:sz w:val="21"/>
          <w:szCs w:val="21"/>
          <w:highlight w:val="none"/>
          <w:lang w:eastAsia="zh-CN"/>
        </w:rPr>
        <w:t>深圳交易集团有限公司（深圳公共资源交易中心）</w:t>
      </w:r>
      <w:r>
        <w:rPr>
          <w:rFonts w:hint="eastAsia" w:ascii="宋体" w:hAnsi="宋体" w:eastAsia="宋体" w:cs="宋体"/>
          <w:sz w:val="21"/>
          <w:szCs w:val="21"/>
          <w:highlight w:val="none"/>
        </w:rPr>
        <w:t>归档并同时公示定标结果和中标结果。定标记录应包括定标委员会会议过程、正式成员名单。定标报告应包括定标委员会的产生过程、定标程序及定标结果等内容。招标人提交中标信息确认时，应认真核对中标公示信息，无误后再签名确认。</w:t>
      </w:r>
    </w:p>
    <w:p>
      <w:pPr>
        <w:adjustRightInd w:val="0"/>
        <w:snapToGrid w:val="0"/>
        <w:spacing w:line="360" w:lineRule="auto"/>
        <w:ind w:firstLine="411" w:firstLineChars="196"/>
        <w:rPr>
          <w:rFonts w:hint="eastAsia" w:ascii="宋体" w:hAnsi="宋体" w:eastAsia="宋体" w:cs="宋体"/>
          <w:sz w:val="21"/>
          <w:szCs w:val="21"/>
          <w:highlight w:val="none"/>
        </w:rPr>
      </w:pPr>
      <w:r>
        <w:rPr>
          <w:rFonts w:hint="eastAsia" w:ascii="宋体" w:hAnsi="宋体" w:eastAsia="宋体" w:cs="宋体"/>
          <w:sz w:val="21"/>
          <w:szCs w:val="21"/>
          <w:highlight w:val="none"/>
        </w:rPr>
        <w:t>42.11招标人应当向定标委员会提供定标方案、清标报告作为定标辅助材料。定标结束后，定标方案、清标报告及定标委员投票结果等定标过程资料应当留存备查。</w:t>
      </w:r>
    </w:p>
    <w:p>
      <w:pPr>
        <w:adjustRightInd w:val="0"/>
        <w:snapToGrid w:val="0"/>
        <w:spacing w:line="360" w:lineRule="auto"/>
        <w:ind w:firstLine="413" w:firstLineChars="196"/>
        <w:rPr>
          <w:rFonts w:hint="eastAsia" w:ascii="宋体" w:hAnsi="宋体" w:eastAsia="宋体" w:cs="宋体"/>
          <w:b/>
          <w:bCs/>
          <w:color w:val="000000"/>
          <w:sz w:val="21"/>
          <w:szCs w:val="21"/>
          <w:highlight w:val="none"/>
        </w:rPr>
      </w:pPr>
      <w:r>
        <w:rPr>
          <w:rFonts w:hint="eastAsia" w:ascii="宋体" w:hAnsi="宋体" w:eastAsia="宋体" w:cs="宋体"/>
          <w:b/>
          <w:sz w:val="21"/>
          <w:szCs w:val="21"/>
          <w:highlight w:val="none"/>
        </w:rPr>
        <w:t>43.</w:t>
      </w:r>
      <w:r>
        <w:rPr>
          <w:rFonts w:hint="eastAsia" w:ascii="宋体" w:hAnsi="宋体" w:eastAsia="宋体" w:cs="宋体"/>
          <w:b/>
          <w:bCs/>
          <w:sz w:val="21"/>
          <w:szCs w:val="21"/>
          <w:highlight w:val="none"/>
        </w:rPr>
        <w:t>定标后有下列情形之一的，招标人可以从评审合格的其他投标人中采用原招标文件规定的定标方法，由原定标委员会确定中标人。原</w:t>
      </w:r>
      <w:r>
        <w:rPr>
          <w:rFonts w:hint="eastAsia" w:ascii="宋体" w:hAnsi="宋体" w:eastAsia="宋体" w:cs="宋体"/>
          <w:b/>
          <w:bCs/>
          <w:color w:val="000000"/>
          <w:sz w:val="21"/>
          <w:szCs w:val="21"/>
          <w:highlight w:val="none"/>
        </w:rPr>
        <w:t>采用票决抽签定标法的项目，票决进入抽签环节的其他投标人数量不足3名的，应当票决补足：</w:t>
      </w:r>
    </w:p>
    <w:p>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43.1中标人放弃中标资格或者拒不签订合同的；</w:t>
      </w:r>
    </w:p>
    <w:p>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43.2中标人不按照招标文件要求提交履约担保的；</w:t>
      </w:r>
    </w:p>
    <w:p>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43.3被查实存在影响中标结果违法行为的。</w:t>
      </w:r>
    </w:p>
    <w:p>
      <w:pPr>
        <w:adjustRightInd w:val="0"/>
        <w:snapToGrid w:val="0"/>
        <w:spacing w:line="360" w:lineRule="auto"/>
        <w:ind w:firstLine="422" w:firstLineChars="200"/>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44.招标人拒绝投标等权力</w:t>
      </w:r>
    </w:p>
    <w:p>
      <w:pPr>
        <w:adjustRightInd w:val="0"/>
        <w:snapToGrid w:val="0"/>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44.1招标人不承诺将合同授予报价最低的投标人。</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44.2中标人确定后，招标人无义务向未中标的投标人就其未中标的原因作出解释。未中</w:t>
      </w:r>
      <w:r>
        <w:rPr>
          <w:rFonts w:hint="eastAsia" w:ascii="宋体" w:hAnsi="宋体" w:eastAsia="宋体" w:cs="宋体"/>
          <w:sz w:val="21"/>
          <w:szCs w:val="21"/>
          <w:highlight w:val="none"/>
        </w:rPr>
        <w:t>标的投标人不得向评标委员会组成人员或招标人询问评标过程的情况或索要相关材料。</w:t>
      </w:r>
    </w:p>
    <w:p>
      <w:pPr>
        <w:adjustRightInd w:val="0"/>
        <w:snapToGrid w:val="0"/>
        <w:spacing w:line="360" w:lineRule="auto"/>
        <w:ind w:firstLine="422" w:firstLineChars="200"/>
        <w:rPr>
          <w:rFonts w:hint="eastAsia" w:ascii="宋体" w:hAnsi="宋体" w:eastAsia="宋体" w:cs="宋体"/>
          <w:b/>
          <w:bCs/>
          <w:sz w:val="21"/>
          <w:szCs w:val="21"/>
          <w:highlight w:val="none"/>
        </w:rPr>
      </w:pPr>
      <w:bookmarkStart w:id="21" w:name="资信标要求一览表"/>
      <w:r>
        <w:rPr>
          <w:rFonts w:hint="eastAsia" w:ascii="宋体" w:hAnsi="宋体" w:eastAsia="宋体" w:cs="宋体"/>
          <w:b/>
          <w:bCs/>
          <w:sz w:val="21"/>
          <w:szCs w:val="21"/>
          <w:highlight w:val="none"/>
        </w:rPr>
        <w:t>45.资信标表格</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45.1招标人可以结合项目实际要求投标人提供资信标作为定标参考因素之一。</w:t>
      </w:r>
    </w:p>
    <w:p>
      <w:pPr>
        <w:adjustRightInd w:val="0"/>
        <w:snapToGrid w:val="0"/>
        <w:spacing w:line="360" w:lineRule="auto"/>
        <w:jc w:val="center"/>
        <w:rPr>
          <w:rFonts w:hint="eastAsia" w:ascii="宋体" w:hAnsi="宋体" w:eastAsia="宋体" w:cs="宋体"/>
          <w:b/>
          <w:sz w:val="21"/>
          <w:szCs w:val="21"/>
          <w:highlight w:val="none"/>
        </w:rPr>
      </w:pPr>
    </w:p>
    <w:p>
      <w:pPr>
        <w:adjustRightInd w:val="0"/>
        <w:snapToGrid w:val="0"/>
        <w:spacing w:line="360" w:lineRule="auto"/>
        <w:jc w:val="center"/>
        <w:rPr>
          <w:rFonts w:hint="eastAsia" w:ascii="宋体" w:hAnsi="宋体" w:eastAsia="宋体" w:cs="宋体"/>
          <w:b/>
          <w:sz w:val="30"/>
          <w:szCs w:val="30"/>
          <w:highlight w:val="none"/>
        </w:rPr>
      </w:pPr>
      <w:r>
        <w:rPr>
          <w:rFonts w:hint="eastAsia" w:ascii="宋体" w:hAnsi="宋体" w:eastAsia="宋体" w:cs="宋体"/>
          <w:b/>
          <w:sz w:val="30"/>
          <w:szCs w:val="30"/>
          <w:highlight w:val="none"/>
        </w:rPr>
        <w:t>资信标要求一览表（如有）</w:t>
      </w:r>
    </w:p>
    <w:tbl>
      <w:tblPr>
        <w:tblStyle w:val="39"/>
        <w:tblW w:w="92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3260"/>
        <w:gridCol w:w="4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26" w:type="dxa"/>
            <w:vAlign w:val="center"/>
          </w:tcPr>
          <w:p>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序号</w:t>
            </w:r>
          </w:p>
        </w:tc>
        <w:tc>
          <w:tcPr>
            <w:tcW w:w="3260" w:type="dxa"/>
            <w:vAlign w:val="center"/>
          </w:tcPr>
          <w:p>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资信要素名称</w:t>
            </w:r>
          </w:p>
        </w:tc>
        <w:tc>
          <w:tcPr>
            <w:tcW w:w="4503" w:type="dxa"/>
            <w:vAlign w:val="center"/>
          </w:tcPr>
          <w:p>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有关要求或说明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26" w:type="dxa"/>
            <w:vAlign w:val="center"/>
          </w:tcPr>
          <w:p>
            <w:pPr>
              <w:adjustRightInd w:val="0"/>
              <w:snapToGrid w:val="0"/>
              <w:spacing w:line="360" w:lineRule="auto"/>
              <w:jc w:val="center"/>
              <w:rPr>
                <w:rFonts w:hint="eastAsia" w:ascii="宋体" w:hAnsi="宋体" w:eastAsia="宋体" w:cs="宋体"/>
                <w:kern w:val="0"/>
                <w:sz w:val="21"/>
                <w:szCs w:val="21"/>
                <w:highlight w:val="none"/>
              </w:rPr>
            </w:pPr>
            <w:bookmarkStart w:id="22" w:name="资信标要求一览表2" w:colFirst="0" w:colLast="0"/>
          </w:p>
        </w:tc>
        <w:tc>
          <w:tcPr>
            <w:tcW w:w="3260" w:type="dxa"/>
            <w:vAlign w:val="center"/>
          </w:tcPr>
          <w:p>
            <w:pPr>
              <w:adjustRightInd w:val="0"/>
              <w:snapToGrid w:val="0"/>
              <w:spacing w:line="360" w:lineRule="auto"/>
              <w:rPr>
                <w:rFonts w:hint="eastAsia" w:ascii="宋体" w:hAnsi="宋体" w:eastAsia="宋体" w:cs="宋体"/>
                <w:kern w:val="0"/>
                <w:sz w:val="21"/>
                <w:szCs w:val="21"/>
                <w:highlight w:val="none"/>
              </w:rPr>
            </w:pPr>
          </w:p>
        </w:tc>
        <w:tc>
          <w:tcPr>
            <w:tcW w:w="4503" w:type="dxa"/>
            <w:vAlign w:val="center"/>
          </w:tcPr>
          <w:p>
            <w:pPr>
              <w:adjustRightInd w:val="0"/>
              <w:snapToGrid w:val="0"/>
              <w:spacing w:line="360" w:lineRule="auto"/>
              <w:rPr>
                <w:rFonts w:hint="eastAsia" w:ascii="宋体" w:hAnsi="宋体" w:eastAsia="宋体" w:cs="宋体"/>
                <w:kern w:val="0"/>
                <w:sz w:val="21"/>
                <w:szCs w:val="21"/>
                <w:highlight w:val="none"/>
              </w:rPr>
            </w:pPr>
          </w:p>
        </w:tc>
      </w:tr>
      <w:bookmarkEnd w:id="22"/>
    </w:tbl>
    <w:p>
      <w:pPr>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备注：资信要素不进行评审，真实性通过公示予以监督。</w:t>
      </w:r>
    </w:p>
    <w:bookmarkEnd w:id="21"/>
    <w:p>
      <w:pPr>
        <w:pStyle w:val="4"/>
        <w:keepNext w:val="0"/>
        <w:keepLines w:val="0"/>
        <w:widowControl w:val="0"/>
        <w:tabs>
          <w:tab w:val="left" w:pos="720"/>
          <w:tab w:val="left" w:pos="4032"/>
        </w:tabs>
        <w:adjustRightInd w:val="0"/>
        <w:snapToGrid w:val="0"/>
        <w:spacing w:before="0" w:after="0" w:line="360" w:lineRule="auto"/>
        <w:jc w:val="center"/>
        <w:rPr>
          <w:rFonts w:hint="eastAsia" w:ascii="宋体" w:hAnsi="宋体" w:eastAsia="宋体" w:cs="宋体"/>
          <w:b/>
          <w:bCs w:val="0"/>
          <w:sz w:val="32"/>
          <w:szCs w:val="32"/>
          <w:highlight w:val="none"/>
          <w:lang w:val="en-US" w:eastAsia="zh-CN"/>
        </w:rPr>
      </w:pPr>
      <w:bookmarkStart w:id="23" w:name="_Toc29655"/>
      <w:r>
        <w:rPr>
          <w:rFonts w:hint="eastAsia" w:ascii="宋体" w:hAnsi="宋体" w:eastAsia="宋体" w:cs="宋体"/>
          <w:b/>
          <w:bCs w:val="0"/>
          <w:sz w:val="32"/>
          <w:szCs w:val="32"/>
          <w:highlight w:val="none"/>
          <w:lang w:val="en-US" w:eastAsia="zh-CN"/>
        </w:rPr>
        <w:t>（七）中标通知书</w:t>
      </w:r>
      <w:bookmarkEnd w:id="23"/>
    </w:p>
    <w:p>
      <w:pPr>
        <w:adjustRightInd w:val="0"/>
        <w:snapToGrid w:val="0"/>
        <w:spacing w:line="360" w:lineRule="auto"/>
        <w:ind w:firstLine="422" w:firstLineChars="200"/>
        <w:rPr>
          <w:rFonts w:hint="eastAsia" w:ascii="宋体" w:hAnsi="宋体" w:eastAsia="宋体" w:cs="宋体"/>
          <w:b/>
          <w:bCs/>
          <w:szCs w:val="21"/>
          <w:highlight w:val="none"/>
        </w:rPr>
      </w:pPr>
      <w:r>
        <w:rPr>
          <w:rFonts w:hint="eastAsia" w:ascii="宋体" w:hAnsi="宋体" w:eastAsia="宋体" w:cs="宋体"/>
          <w:b/>
          <w:bCs/>
          <w:szCs w:val="21"/>
          <w:highlight w:val="none"/>
        </w:rPr>
        <w:t>46.</w:t>
      </w:r>
      <w:r>
        <w:rPr>
          <w:rFonts w:hint="eastAsia" w:ascii="宋体" w:hAnsi="宋体" w:eastAsia="宋体" w:cs="宋体"/>
          <w:highlight w:val="none"/>
        </w:rPr>
        <w:t xml:space="preserve"> </w:t>
      </w:r>
      <w:r>
        <w:rPr>
          <w:rFonts w:hint="eastAsia" w:ascii="宋体" w:hAnsi="宋体" w:eastAsia="宋体" w:cs="宋体"/>
          <w:b/>
          <w:bCs/>
          <w:szCs w:val="21"/>
          <w:highlight w:val="none"/>
        </w:rPr>
        <w:t>中标通知书</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46.1在规定的公示期内未收到对中标结果的异议的，招标人将按法律法规规定的时间内向中标人发出中标通知书。如接到有关投诉的，招标人将可能暂停发出中标通知书。</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yellow"/>
          <w:lang w:val="en-US" w:eastAsia="zh-CN"/>
        </w:rPr>
        <w:t>46.2</w:t>
      </w:r>
      <w:r>
        <w:rPr>
          <w:rFonts w:hint="eastAsia" w:ascii="宋体" w:hAnsi="宋体" w:eastAsia="宋体" w:cs="宋体"/>
          <w:szCs w:val="21"/>
          <w:highlight w:val="none"/>
          <w:lang w:val="en-US" w:eastAsia="zh-CN"/>
        </w:rPr>
        <w:t>招标人在发出中标通知书之前因正当理由，经行政监督部门批准并经交易网公示3个工作日后，招标人有权接受或拒绝投标、宣布投标程序无效或拒绝所有投标。对受影响的投标人不承担任何责任。</w:t>
      </w:r>
    </w:p>
    <w:p>
      <w:pPr>
        <w:adjustRightInd w:val="0"/>
        <w:snapToGrid w:val="0"/>
        <w:spacing w:line="360" w:lineRule="auto"/>
        <w:ind w:firstLine="420" w:firstLineChars="200"/>
        <w:rPr>
          <w:rFonts w:hint="eastAsia" w:ascii="宋体" w:hAnsi="宋体" w:eastAsia="宋体" w:cs="宋体"/>
          <w:highlight w:val="none"/>
        </w:rPr>
      </w:pPr>
      <w:r>
        <w:rPr>
          <w:rFonts w:hint="eastAsia" w:ascii="宋体" w:hAnsi="宋体" w:eastAsia="宋体" w:cs="宋体"/>
          <w:szCs w:val="21"/>
          <w:highlight w:val="none"/>
        </w:rPr>
        <w:t>46.</w:t>
      </w:r>
      <w:r>
        <w:rPr>
          <w:rFonts w:hint="eastAsia" w:ascii="宋体" w:hAnsi="宋体" w:eastAsia="宋体" w:cs="宋体"/>
          <w:szCs w:val="21"/>
          <w:highlight w:val="none"/>
          <w:lang w:val="en-US" w:eastAsia="zh-CN"/>
        </w:rPr>
        <w:t>3</w:t>
      </w:r>
      <w:r>
        <w:rPr>
          <w:rFonts w:hint="eastAsia" w:ascii="宋体" w:hAnsi="宋体" w:eastAsia="宋体" w:cs="宋体"/>
          <w:szCs w:val="21"/>
          <w:highlight w:val="none"/>
        </w:rPr>
        <w:t>中标人应在收到中标通知书后15天内，向招标人提交可实施的施工组织设计，招标人应当会同监理单位对施工组织设计进行审核。</w:t>
      </w:r>
      <w:bookmarkStart w:id="1875" w:name="_GoBack"/>
      <w:bookmarkEnd w:id="1875"/>
    </w:p>
    <w:p>
      <w:pPr>
        <w:pStyle w:val="4"/>
        <w:keepNext w:val="0"/>
        <w:keepLines w:val="0"/>
        <w:widowControl w:val="0"/>
        <w:tabs>
          <w:tab w:val="left" w:pos="720"/>
          <w:tab w:val="left" w:pos="4032"/>
        </w:tabs>
        <w:adjustRightInd w:val="0"/>
        <w:snapToGrid w:val="0"/>
        <w:spacing w:before="0" w:after="0" w:line="360" w:lineRule="auto"/>
        <w:jc w:val="center"/>
        <w:rPr>
          <w:rFonts w:hint="eastAsia" w:ascii="宋体" w:hAnsi="宋体" w:eastAsia="宋体" w:cs="宋体"/>
          <w:b/>
          <w:bCs w:val="0"/>
          <w:sz w:val="32"/>
          <w:szCs w:val="32"/>
          <w:highlight w:val="none"/>
          <w:lang w:val="en-US" w:eastAsia="zh-CN"/>
        </w:rPr>
      </w:pPr>
      <w:bookmarkStart w:id="24" w:name="_Toc9135"/>
      <w:r>
        <w:rPr>
          <w:rFonts w:hint="eastAsia" w:ascii="宋体" w:hAnsi="宋体" w:eastAsia="宋体" w:cs="宋体"/>
          <w:b/>
          <w:bCs w:val="0"/>
          <w:sz w:val="32"/>
          <w:szCs w:val="32"/>
          <w:highlight w:val="none"/>
          <w:lang w:val="en-US" w:eastAsia="zh-CN"/>
        </w:rPr>
        <w:t>（八）合同的授予</w:t>
      </w:r>
      <w:bookmarkEnd w:id="24"/>
    </w:p>
    <w:p>
      <w:pPr>
        <w:adjustRightInd w:val="0"/>
        <w:snapToGrid w:val="0"/>
        <w:spacing w:line="360" w:lineRule="auto"/>
        <w:ind w:firstLine="422" w:firstLineChars="200"/>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47.合同授予标准</w:t>
      </w:r>
    </w:p>
    <w:p>
      <w:pPr>
        <w:adjustRightInd w:val="0"/>
        <w:snapToGrid w:val="0"/>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47.1本工程的施工合同将授予按招标文件规定所确定的中标人。</w:t>
      </w:r>
    </w:p>
    <w:p>
      <w:pPr>
        <w:adjustRightInd w:val="0"/>
        <w:snapToGrid w:val="0"/>
        <w:spacing w:line="360" w:lineRule="auto"/>
        <w:ind w:firstLine="422" w:firstLineChars="200"/>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48.合同协议书的签订</w:t>
      </w:r>
    </w:p>
    <w:p>
      <w:pPr>
        <w:adjustRightInd w:val="0"/>
        <w:snapToGrid w:val="0"/>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48.1招标人与中标人将于招标文件规定的时限内，根据招标文件和中标人的投标文件签订建设工程施工合同，合同价为中标人的投标报价（因计算错误，评标委员会修正中标价的除外）。</w:t>
      </w:r>
    </w:p>
    <w:p>
      <w:pPr>
        <w:adjustRightInd w:val="0"/>
        <w:snapToGrid w:val="0"/>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48.2招标人与中标人签订的施工合同必须遵守本招标文件的合同条件，并且不得更改合同条件。</w:t>
      </w:r>
    </w:p>
    <w:p>
      <w:pPr>
        <w:adjustRightInd w:val="0"/>
        <w:snapToGrid w:val="0"/>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48.3中标人不按招标文件规定与招标人签订合同，招标人有权废除中标，并没收其投标保证金或投标保函，给招标人造成的损失超过投标担保数额的，还应当对超过部分予以赔偿，同时依法承担相应法律责任。</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48.4中标人应当按照合同约定履行义务，完成中标工程施工，不得将中标工程转让（转</w:t>
      </w:r>
      <w:r>
        <w:rPr>
          <w:rFonts w:hint="eastAsia" w:ascii="宋体" w:hAnsi="宋体" w:eastAsia="宋体" w:cs="宋体"/>
          <w:sz w:val="21"/>
          <w:szCs w:val="21"/>
          <w:highlight w:val="none"/>
        </w:rPr>
        <w:t>包）给他人施工。</w:t>
      </w:r>
    </w:p>
    <w:p>
      <w:pPr>
        <w:adjustRightInd w:val="0"/>
        <w:snapToGrid w:val="0"/>
        <w:spacing w:line="360" w:lineRule="auto"/>
        <w:ind w:firstLine="422" w:firstLineChars="200"/>
        <w:rPr>
          <w:rFonts w:hint="eastAsia" w:ascii="宋体" w:hAnsi="宋体" w:eastAsia="宋体" w:cs="宋体"/>
          <w:b/>
          <w:bCs/>
          <w:sz w:val="21"/>
          <w:szCs w:val="21"/>
          <w:highlight w:val="yellow"/>
        </w:rPr>
      </w:pPr>
      <w:r>
        <w:rPr>
          <w:rFonts w:hint="eastAsia" w:ascii="宋体" w:hAnsi="宋体" w:eastAsia="宋体" w:cs="宋体"/>
          <w:b/>
          <w:bCs/>
          <w:sz w:val="21"/>
          <w:szCs w:val="21"/>
          <w:highlight w:val="yellow"/>
        </w:rPr>
        <w:t>49.工程担保</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49.1中标人应在签订工程承包合同</w:t>
      </w:r>
      <w:r>
        <w:rPr>
          <w:rFonts w:hint="eastAsia" w:ascii="宋体" w:hAnsi="宋体" w:eastAsia="宋体" w:cs="宋体"/>
          <w:sz w:val="21"/>
          <w:szCs w:val="21"/>
          <w:highlight w:val="none"/>
          <w:lang w:val="en-US" w:eastAsia="zh-CN"/>
        </w:rPr>
        <w:t>时</w:t>
      </w:r>
      <w:r>
        <w:rPr>
          <w:rFonts w:hint="eastAsia" w:ascii="宋体" w:hAnsi="宋体" w:eastAsia="宋体" w:cs="宋体"/>
          <w:sz w:val="21"/>
          <w:szCs w:val="21"/>
          <w:highlight w:val="none"/>
        </w:rPr>
        <w:t>，按招标文件规定的时间、出具单位及规定的金额向招标人提交履约担保，履约担保可参照使用本招标文件附表提供的格式。履约担保为中标价与招标控制价或投标报价上限（无招标控制价招标的）的差额，且不高于中标价的10%。</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49.2招标人</w:t>
      </w:r>
      <w:r>
        <w:rPr>
          <w:rFonts w:hint="eastAsia" w:ascii="宋体" w:hAnsi="宋体" w:eastAsia="宋体" w:cs="宋体"/>
          <w:sz w:val="21"/>
          <w:szCs w:val="21"/>
          <w:highlight w:val="none"/>
          <w:lang w:val="en-US" w:eastAsia="zh-CN"/>
        </w:rPr>
        <w:t>应</w:t>
      </w:r>
      <w:r>
        <w:rPr>
          <w:rFonts w:hint="eastAsia" w:ascii="宋体" w:hAnsi="宋体" w:eastAsia="宋体" w:cs="宋体"/>
          <w:sz w:val="21"/>
          <w:szCs w:val="21"/>
          <w:highlight w:val="none"/>
        </w:rPr>
        <w:t>在中标人提交履约担保的同时向中标人提供</w:t>
      </w:r>
      <w:r>
        <w:rPr>
          <w:rFonts w:hint="eastAsia" w:ascii="宋体" w:hAnsi="宋体" w:eastAsia="宋体" w:cs="宋体"/>
          <w:sz w:val="21"/>
          <w:szCs w:val="21"/>
          <w:highlight w:val="none"/>
          <w:lang w:val="en-US" w:eastAsia="zh-CN"/>
        </w:rPr>
        <w:t>与履约担保数额等额的</w:t>
      </w:r>
      <w:r>
        <w:rPr>
          <w:rFonts w:hint="eastAsia" w:ascii="宋体" w:hAnsi="宋体" w:eastAsia="宋体" w:cs="宋体"/>
          <w:sz w:val="21"/>
          <w:szCs w:val="21"/>
          <w:highlight w:val="none"/>
        </w:rPr>
        <w:t>工程款支付担保。</w:t>
      </w:r>
    </w:p>
    <w:p>
      <w:pPr>
        <w:adjustRightInd w:val="0"/>
        <w:snapToGrid w:val="0"/>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49.3中标人不按招标文件规定提交履约担保的，招标人</w:t>
      </w:r>
      <w:r>
        <w:rPr>
          <w:rFonts w:hint="eastAsia" w:ascii="宋体" w:hAnsi="宋体" w:eastAsia="宋体" w:cs="宋体"/>
          <w:color w:val="000000"/>
          <w:sz w:val="21"/>
          <w:szCs w:val="21"/>
          <w:highlight w:val="none"/>
          <w:lang w:val="en-US" w:eastAsia="zh-CN"/>
        </w:rPr>
        <w:t>有权取消其中标资格</w:t>
      </w:r>
      <w:r>
        <w:rPr>
          <w:rFonts w:hint="eastAsia" w:ascii="宋体" w:hAnsi="宋体" w:eastAsia="宋体" w:cs="宋体"/>
          <w:color w:val="000000"/>
          <w:sz w:val="21"/>
          <w:szCs w:val="21"/>
          <w:highlight w:val="none"/>
        </w:rPr>
        <w:t>，并没收其投标保证金，给招标人造成的损失超过投标保证金数额的，中标人应当对超过部分予以赔偿。</w:t>
      </w:r>
    </w:p>
    <w:p>
      <w:pPr>
        <w:adjustRightInd w:val="0"/>
        <w:snapToGrid w:val="0"/>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49.</w:t>
      </w:r>
      <w:r>
        <w:rPr>
          <w:rFonts w:hint="eastAsia" w:ascii="宋体" w:hAnsi="宋体" w:eastAsia="宋体" w:cs="宋体"/>
          <w:color w:val="000000"/>
          <w:sz w:val="21"/>
          <w:szCs w:val="21"/>
          <w:highlight w:val="none"/>
          <w:lang w:val="en-US" w:eastAsia="zh-CN"/>
        </w:rPr>
        <w:t>4</w:t>
      </w:r>
      <w:r>
        <w:rPr>
          <w:rFonts w:hint="eastAsia" w:ascii="宋体" w:hAnsi="宋体" w:eastAsia="宋体" w:cs="宋体"/>
          <w:color w:val="000000"/>
          <w:sz w:val="21"/>
          <w:szCs w:val="21"/>
          <w:highlight w:val="none"/>
        </w:rPr>
        <w:t>承包商履约担保和业主支付担保都必须采用经对方认可</w:t>
      </w:r>
      <w:r>
        <w:rPr>
          <w:rFonts w:hint="eastAsia" w:ascii="宋体" w:hAnsi="宋体" w:eastAsia="宋体" w:cs="宋体"/>
          <w:strike w:val="0"/>
          <w:dstrike w:val="0"/>
          <w:color w:val="000000"/>
          <w:sz w:val="21"/>
          <w:szCs w:val="21"/>
          <w:highlight w:val="none"/>
        </w:rPr>
        <w:t>的</w:t>
      </w:r>
      <w:r>
        <w:rPr>
          <w:rFonts w:hint="eastAsia" w:ascii="宋体" w:hAnsi="宋体" w:eastAsia="宋体" w:cs="宋体"/>
          <w:color w:val="000000"/>
          <w:sz w:val="21"/>
          <w:szCs w:val="21"/>
          <w:highlight w:val="none"/>
        </w:rPr>
        <w:t>银行保函</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保证保险</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专业工程担保公司担保</w:t>
      </w:r>
      <w:r>
        <w:rPr>
          <w:rFonts w:hint="eastAsia" w:ascii="宋体" w:hAnsi="宋体" w:eastAsia="宋体" w:cs="宋体"/>
          <w:color w:val="000000"/>
          <w:sz w:val="21"/>
          <w:szCs w:val="21"/>
          <w:highlight w:val="none"/>
          <w:lang w:val="en-US" w:eastAsia="zh-CN"/>
        </w:rPr>
        <w:t>等</w:t>
      </w:r>
      <w:r>
        <w:rPr>
          <w:rFonts w:hint="eastAsia" w:ascii="宋体" w:hAnsi="宋体" w:eastAsia="宋体" w:cs="宋体"/>
          <w:color w:val="000000"/>
          <w:sz w:val="21"/>
          <w:szCs w:val="21"/>
          <w:highlight w:val="none"/>
        </w:rPr>
        <w:t xml:space="preserve"> 。双方均不得在工程担保有效期内解除担保。</w:t>
      </w:r>
    </w:p>
    <w:p>
      <w:pPr>
        <w:rPr>
          <w:color w:val="000000"/>
          <w:szCs w:val="21"/>
          <w:highlight w:val="none"/>
        </w:rPr>
      </w:pPr>
      <w:r>
        <w:rPr>
          <w:color w:val="000000"/>
          <w:szCs w:val="21"/>
          <w:highlight w:val="none"/>
        </w:rPr>
        <w:br w:type="page"/>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0"/>
        <w:rPr>
          <w:rFonts w:hint="eastAsia" w:ascii="黑体" w:hAnsi="黑体" w:eastAsia="黑体" w:cs="黑体"/>
          <w:b w:val="0"/>
          <w:bCs/>
          <w:sz w:val="44"/>
          <w:szCs w:val="44"/>
          <w:highlight w:val="none"/>
        </w:rPr>
      </w:pPr>
      <w:bookmarkStart w:id="25" w:name="_Toc1533"/>
      <w:bookmarkStart w:id="26" w:name="_Toc14347"/>
      <w:r>
        <w:rPr>
          <w:rFonts w:hint="eastAsia" w:ascii="黑体" w:hAnsi="黑体" w:eastAsia="黑体" w:cs="黑体"/>
          <w:b w:val="0"/>
          <w:bCs/>
          <w:sz w:val="44"/>
          <w:szCs w:val="44"/>
          <w:highlight w:val="none"/>
        </w:rPr>
        <w:t>第三章  招标人对招标文件及合同范本的补充/修改</w:t>
      </w:r>
      <w:bookmarkEnd w:id="25"/>
    </w:p>
    <w:p>
      <w:pPr>
        <w:topLinePunct/>
        <w:adjustRightInd w:val="0"/>
        <w:snapToGrid w:val="0"/>
        <w:spacing w:line="360" w:lineRule="auto"/>
        <w:ind w:firstLine="440" w:firstLineChars="200"/>
        <w:rPr>
          <w:sz w:val="22"/>
          <w:highlight w:val="none"/>
        </w:rPr>
      </w:pPr>
    </w:p>
    <w:p>
      <w:pPr>
        <w:topLinePunct/>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招标人可根据工程实际情况，对本范本进行补充或修改，但有关补充或修改内容不得违法违规，且必须逐一列举在以下栏目中。请投标人认真阅读并遵照执行：</w:t>
      </w:r>
    </w:p>
    <w:p>
      <w:pPr>
        <w:topLinePunct/>
        <w:adjustRightInd w:val="0"/>
        <w:snapToGrid w:val="0"/>
        <w:spacing w:line="360" w:lineRule="auto"/>
        <w:ind w:firstLine="420" w:firstLineChars="200"/>
        <w:rPr>
          <w:rFonts w:hint="eastAsia" w:ascii="宋体" w:hAnsi="宋体" w:eastAsia="宋体" w:cs="宋体"/>
          <w:szCs w:val="21"/>
          <w:highlight w:val="none"/>
          <w:u w:val="single"/>
        </w:rPr>
      </w:pPr>
    </w:p>
    <w:p>
      <w:pPr>
        <w:topLinePunct/>
        <w:adjustRightInd w:val="0"/>
        <w:snapToGrid w:val="0"/>
        <w:spacing w:line="360" w:lineRule="auto"/>
        <w:ind w:firstLine="420" w:firstLineChars="200"/>
        <w:rPr>
          <w:rFonts w:hint="eastAsia" w:ascii="宋体" w:hAnsi="宋体" w:eastAsia="宋体" w:cs="宋体"/>
          <w:szCs w:val="21"/>
          <w:highlight w:val="none"/>
          <w:u w:val="single"/>
        </w:rPr>
      </w:pPr>
      <w:r>
        <w:rPr>
          <w:rFonts w:hint="eastAsia" w:ascii="宋体" w:hAnsi="宋体" w:eastAsia="宋体" w:cs="宋体"/>
          <w:szCs w:val="21"/>
          <w:highlight w:val="none"/>
          <w:u w:val="single"/>
        </w:rPr>
        <w:t>补充修改</w:t>
      </w:r>
    </w:p>
    <w:p>
      <w:pPr>
        <w:topLinePunct/>
        <w:adjustRightInd w:val="0"/>
        <w:snapToGrid w:val="0"/>
        <w:spacing w:line="360" w:lineRule="auto"/>
        <w:ind w:firstLine="420" w:firstLineChars="200"/>
        <w:rPr>
          <w:rFonts w:hint="eastAsia" w:ascii="宋体" w:hAnsi="宋体" w:eastAsia="宋体" w:cs="宋体"/>
          <w:szCs w:val="21"/>
          <w:highlight w:val="none"/>
        </w:rPr>
      </w:pPr>
    </w:p>
    <w:p>
      <w:pPr>
        <w:topLinePunct/>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以下空白。</w:t>
      </w:r>
    </w:p>
    <w:p>
      <w:pPr>
        <w:topLinePunct/>
        <w:adjustRightInd w:val="0"/>
        <w:snapToGrid w:val="0"/>
        <w:spacing w:line="360" w:lineRule="auto"/>
        <w:ind w:firstLine="420" w:firstLineChars="200"/>
        <w:rPr>
          <w:rFonts w:hint="eastAsia" w:ascii="宋体" w:hAnsi="宋体" w:eastAsia="宋体" w:cs="宋体"/>
          <w:szCs w:val="21"/>
          <w:highlight w:val="none"/>
        </w:rPr>
      </w:pPr>
    </w:p>
    <w:p>
      <w:pPr>
        <w:topLinePunct/>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招   标   人：</w:t>
      </w:r>
      <w:r>
        <w:rPr>
          <w:rFonts w:hint="eastAsia" w:ascii="宋体" w:hAnsi="宋体" w:eastAsia="宋体" w:cs="宋体"/>
          <w:bCs/>
          <w:szCs w:val="21"/>
          <w:highlight w:val="none"/>
          <w:u w:val="single"/>
        </w:rPr>
        <w:t xml:space="preserve">      </w:t>
      </w:r>
    </w:p>
    <w:p>
      <w:pPr>
        <w:topLinePunct/>
        <w:adjustRightInd w:val="0"/>
        <w:snapToGrid w:val="0"/>
        <w:spacing w:line="360" w:lineRule="auto"/>
        <w:ind w:firstLine="420" w:firstLineChars="200"/>
        <w:rPr>
          <w:rFonts w:hint="eastAsia" w:ascii="宋体" w:hAnsi="宋体" w:eastAsia="宋体" w:cs="宋体"/>
          <w:szCs w:val="21"/>
          <w:highlight w:val="none"/>
        </w:rPr>
      </w:pPr>
    </w:p>
    <w:p>
      <w:pPr>
        <w:topLinePunct/>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招标代理机构：</w:t>
      </w:r>
      <w:r>
        <w:rPr>
          <w:rFonts w:hint="eastAsia" w:ascii="宋体" w:hAnsi="宋体" w:eastAsia="宋体" w:cs="宋体"/>
          <w:bCs/>
          <w:szCs w:val="21"/>
          <w:highlight w:val="none"/>
          <w:u w:val="single"/>
        </w:rPr>
        <w:t xml:space="preserve">      </w:t>
      </w:r>
    </w:p>
    <w:p>
      <w:pPr>
        <w:topLinePunct/>
        <w:adjustRightInd w:val="0"/>
        <w:snapToGrid w:val="0"/>
        <w:spacing w:line="360" w:lineRule="auto"/>
        <w:ind w:firstLine="420" w:firstLineChars="200"/>
        <w:rPr>
          <w:rFonts w:hint="eastAsia" w:ascii="宋体" w:hAnsi="宋体" w:eastAsia="宋体" w:cs="宋体"/>
          <w:szCs w:val="21"/>
          <w:highlight w:val="none"/>
        </w:rPr>
      </w:pPr>
    </w:p>
    <w:p>
      <w:pPr>
        <w:topLinePunct/>
        <w:adjustRightInd w:val="0"/>
        <w:snapToGrid w:val="0"/>
        <w:spacing w:line="360" w:lineRule="auto"/>
        <w:ind w:firstLine="420" w:firstLineChars="200"/>
        <w:rPr>
          <w:rFonts w:hint="eastAsia" w:ascii="宋体" w:hAnsi="宋体" w:eastAsia="宋体" w:cs="宋体"/>
          <w:highlight w:val="none"/>
        </w:rPr>
        <w:sectPr>
          <w:headerReference r:id="rId3" w:type="default"/>
          <w:footerReference r:id="rId4" w:type="default"/>
          <w:pgSz w:w="11907" w:h="16840"/>
          <w:pgMar w:top="1417" w:right="1417" w:bottom="1417" w:left="1417" w:header="851" w:footer="851" w:gutter="0"/>
          <w:pgNumType w:fmt="decimalFullWidth"/>
          <w:cols w:space="425" w:num="1"/>
          <w:docGrid w:type="lines" w:linePitch="312" w:charSpace="0"/>
        </w:sectPr>
      </w:pPr>
      <w:r>
        <w:rPr>
          <w:rFonts w:hint="eastAsia" w:ascii="宋体" w:hAnsi="宋体" w:eastAsia="宋体" w:cs="宋体"/>
          <w:szCs w:val="21"/>
          <w:highlight w:val="none"/>
        </w:rPr>
        <w:t>编制日期：</w:t>
      </w:r>
      <w:r>
        <w:rPr>
          <w:rFonts w:hint="eastAsia" w:ascii="宋体" w:hAnsi="宋体" w:eastAsia="宋体" w:cs="宋体"/>
          <w:bCs/>
          <w:szCs w:val="21"/>
          <w:highlight w:val="none"/>
          <w:u w:val="single"/>
        </w:rPr>
        <w:t xml:space="preserve">      </w:t>
      </w:r>
      <w:bookmarkEnd w:id="26"/>
      <w:r>
        <w:rPr>
          <w:rFonts w:hint="eastAsia" w:ascii="宋体" w:hAnsi="宋体" w:eastAsia="宋体" w:cs="宋体"/>
          <w:highlight w:val="none"/>
        </w:rPr>
        <w:br w:type="page"/>
      </w:r>
    </w:p>
    <w:p>
      <w:pPr>
        <w:topLinePunct/>
        <w:adjustRightInd w:val="0"/>
        <w:snapToGrid w:val="0"/>
        <w:spacing w:line="360" w:lineRule="auto"/>
        <w:ind w:firstLine="420" w:firstLineChars="200"/>
        <w:rPr>
          <w:rFonts w:hint="eastAsia" w:ascii="宋体" w:hAnsi="宋体" w:eastAsia="宋体" w:cs="宋体"/>
          <w:highlight w:val="none"/>
        </w:rPr>
      </w:pPr>
    </w:p>
    <w:p>
      <w:pPr>
        <w:adjustRightInd w:val="0"/>
        <w:snapToGrid w:val="0"/>
        <w:spacing w:line="360" w:lineRule="auto"/>
        <w:jc w:val="center"/>
        <w:outlineLvl w:val="0"/>
        <w:rPr>
          <w:rFonts w:hint="eastAsia" w:ascii="黑体" w:hAnsi="黑体" w:eastAsia="黑体" w:cs="黑体"/>
          <w:b w:val="0"/>
          <w:bCs/>
          <w:sz w:val="32"/>
          <w:szCs w:val="32"/>
          <w:highlight w:val="yellow"/>
        </w:rPr>
      </w:pPr>
      <w:bookmarkStart w:id="27" w:name="_Toc13629"/>
      <w:r>
        <w:rPr>
          <w:rFonts w:hint="eastAsia" w:ascii="黑体" w:hAnsi="黑体" w:eastAsia="黑体" w:cs="黑体"/>
          <w:b w:val="0"/>
          <w:bCs/>
          <w:sz w:val="32"/>
          <w:szCs w:val="32"/>
          <w:highlight w:val="yellow"/>
        </w:rPr>
        <w:t>第四章  合同条款</w:t>
      </w:r>
      <w:bookmarkEnd w:id="27"/>
    </w:p>
    <w:p>
      <w:pPr>
        <w:rPr>
          <w:rFonts w:ascii="黑体" w:eastAsia="黑体"/>
          <w:sz w:val="28"/>
          <w:szCs w:val="28"/>
          <w:highlight w:val="none"/>
        </w:rPr>
      </w:pPr>
      <w:r>
        <w:rPr>
          <w:rFonts w:ascii="黑体" w:eastAsia="黑体"/>
          <w:sz w:val="28"/>
          <w:szCs w:val="28"/>
          <w:highlight w:val="none"/>
        </w:rPr>
        <w:br w:type="page"/>
      </w:r>
    </w:p>
    <w:p>
      <w:pPr>
        <w:jc w:val="left"/>
        <w:rPr>
          <w:rFonts w:ascii="宋体" w:hAnsi="宋体"/>
          <w:b/>
          <w:sz w:val="28"/>
          <w:szCs w:val="28"/>
        </w:rPr>
      </w:pPr>
      <w:r>
        <w:rPr>
          <w:rFonts w:ascii="宋体" w:hAnsi="宋体"/>
          <w:b/>
          <w:sz w:val="28"/>
          <w:szCs w:val="28"/>
        </w:rPr>
        <w:t>SFD-2015-0</w:t>
      </w:r>
      <w:r>
        <w:rPr>
          <w:rFonts w:hint="eastAsia" w:ascii="宋体" w:hAnsi="宋体"/>
          <w:b/>
          <w:sz w:val="28"/>
          <w:szCs w:val="28"/>
        </w:rPr>
        <w:t>4</w:t>
      </w:r>
    </w:p>
    <w:p>
      <w:pPr>
        <w:jc w:val="right"/>
        <w:rPr>
          <w:rFonts w:hint="eastAsia" w:ascii="黑体" w:hAnsi="宋体" w:eastAsia="黑体"/>
          <w:sz w:val="28"/>
          <w:szCs w:val="28"/>
        </w:rPr>
      </w:pPr>
      <w:r>
        <w:rPr>
          <w:rFonts w:hint="eastAsia" w:ascii="黑体" w:hAnsi="宋体" w:eastAsia="黑体"/>
          <w:sz w:val="28"/>
          <w:szCs w:val="28"/>
        </w:rPr>
        <w:t>工程编号：</w:t>
      </w:r>
      <w:r>
        <w:rPr>
          <w:rFonts w:hint="eastAsia" w:ascii="黑体" w:hAnsi="宋体" w:eastAsia="黑体"/>
          <w:sz w:val="28"/>
          <w:szCs w:val="28"/>
          <w:u w:val="single"/>
        </w:rPr>
        <w:t xml:space="preserve">                 </w:t>
      </w:r>
    </w:p>
    <w:p>
      <w:pPr>
        <w:jc w:val="right"/>
        <w:rPr>
          <w:rFonts w:hint="eastAsia" w:ascii="黑体" w:hAnsi="宋体" w:eastAsia="黑体"/>
          <w:sz w:val="28"/>
          <w:szCs w:val="28"/>
          <w:u w:val="single"/>
        </w:rPr>
      </w:pPr>
      <w:r>
        <w:rPr>
          <w:rFonts w:hint="eastAsia" w:ascii="黑体" w:hAnsi="宋体" w:eastAsia="黑体"/>
          <w:sz w:val="28"/>
          <w:szCs w:val="28"/>
        </w:rPr>
        <w:t>合同编号：</w:t>
      </w:r>
      <w:r>
        <w:rPr>
          <w:rFonts w:hint="eastAsia" w:ascii="黑体" w:hAnsi="宋体" w:eastAsia="黑体"/>
          <w:sz w:val="28"/>
          <w:szCs w:val="28"/>
          <w:u w:val="single"/>
        </w:rPr>
        <w:t xml:space="preserve">                 </w:t>
      </w:r>
    </w:p>
    <w:p>
      <w:pPr>
        <w:jc w:val="right"/>
        <w:rPr>
          <w:rFonts w:hint="eastAsia" w:ascii="黑体" w:eastAsia="黑体"/>
          <w:sz w:val="32"/>
          <w:szCs w:val="32"/>
          <w:u w:val="single"/>
        </w:rPr>
      </w:pPr>
    </w:p>
    <w:p>
      <w:pPr>
        <w:jc w:val="right"/>
        <w:rPr>
          <w:rFonts w:hint="eastAsia" w:ascii="黑体" w:eastAsia="黑体"/>
          <w:sz w:val="32"/>
          <w:szCs w:val="32"/>
          <w:u w:val="single"/>
        </w:rPr>
      </w:pPr>
    </w:p>
    <w:p>
      <w:pPr>
        <w:jc w:val="center"/>
        <w:rPr>
          <w:rFonts w:hint="eastAsia" w:ascii="黑体" w:hAnsi="宋体" w:eastAsia="黑体"/>
          <w:sz w:val="44"/>
          <w:szCs w:val="44"/>
        </w:rPr>
      </w:pPr>
      <w:r>
        <w:rPr>
          <w:rFonts w:hint="eastAsia" w:ascii="黑体" w:hAnsi="宋体" w:eastAsia="黑体"/>
          <w:sz w:val="44"/>
          <w:szCs w:val="44"/>
        </w:rPr>
        <w:t>深圳市建设工程</w:t>
      </w:r>
    </w:p>
    <w:p>
      <w:pPr>
        <w:jc w:val="center"/>
        <w:rPr>
          <w:rFonts w:hint="eastAsia" w:ascii="黑体" w:hAnsi="宋体" w:eastAsia="黑体"/>
          <w:szCs w:val="21"/>
        </w:rPr>
      </w:pPr>
    </w:p>
    <w:p>
      <w:pPr>
        <w:jc w:val="center"/>
        <w:rPr>
          <w:rFonts w:hint="eastAsia" w:ascii="黑体" w:hAnsi="宋体" w:eastAsia="黑体"/>
          <w:sz w:val="52"/>
          <w:szCs w:val="52"/>
        </w:rPr>
      </w:pPr>
      <w:r>
        <w:rPr>
          <w:rFonts w:hint="eastAsia" w:ascii="黑体" w:hAnsi="宋体" w:eastAsia="黑体"/>
          <w:sz w:val="52"/>
          <w:szCs w:val="52"/>
        </w:rPr>
        <w:t>施工(单价)合同</w:t>
      </w:r>
    </w:p>
    <w:p>
      <w:pPr>
        <w:jc w:val="center"/>
        <w:outlineLvl w:val="0"/>
        <w:rPr>
          <w:rFonts w:hint="eastAsia" w:ascii="黑体" w:hAnsi="宋体" w:eastAsia="黑体"/>
          <w:sz w:val="32"/>
          <w:szCs w:val="32"/>
        </w:rPr>
      </w:pPr>
      <w:bookmarkStart w:id="28" w:name="_Toc67418462"/>
      <w:bookmarkStart w:id="29" w:name="_Toc448840947"/>
      <w:bookmarkStart w:id="30" w:name="_Toc453616279"/>
      <w:bookmarkStart w:id="31" w:name="_Toc25070"/>
      <w:bookmarkStart w:id="32" w:name="_Toc67418029"/>
      <w:bookmarkStart w:id="33" w:name="_Toc492904945"/>
      <w:bookmarkStart w:id="34" w:name="_Toc67326976"/>
      <w:bookmarkStart w:id="35" w:name="_Toc448493953"/>
      <w:r>
        <w:rPr>
          <w:rFonts w:hint="eastAsia" w:ascii="黑体" w:hAnsi="宋体" w:eastAsia="黑体"/>
          <w:sz w:val="32"/>
          <w:szCs w:val="32"/>
        </w:rPr>
        <w:t>(适用于招标工程固定单价施工合同)</w:t>
      </w:r>
      <w:bookmarkEnd w:id="28"/>
      <w:bookmarkEnd w:id="29"/>
      <w:bookmarkEnd w:id="30"/>
      <w:bookmarkEnd w:id="31"/>
      <w:bookmarkEnd w:id="32"/>
      <w:bookmarkEnd w:id="33"/>
      <w:bookmarkEnd w:id="34"/>
      <w:bookmarkEnd w:id="35"/>
    </w:p>
    <w:p>
      <w:pPr>
        <w:jc w:val="center"/>
        <w:rPr>
          <w:rFonts w:hint="eastAsia" w:ascii="黑体" w:eastAsia="黑体"/>
          <w:sz w:val="32"/>
          <w:szCs w:val="32"/>
        </w:rPr>
      </w:pPr>
    </w:p>
    <w:p>
      <w:pPr>
        <w:jc w:val="center"/>
        <w:rPr>
          <w:rFonts w:hint="eastAsia" w:ascii="黑体" w:eastAsia="黑体"/>
          <w:sz w:val="32"/>
          <w:szCs w:val="32"/>
        </w:rPr>
      </w:pPr>
    </w:p>
    <w:p>
      <w:pPr>
        <w:jc w:val="center"/>
        <w:rPr>
          <w:rFonts w:hint="eastAsia" w:ascii="黑体" w:eastAsia="黑体"/>
          <w:sz w:val="32"/>
          <w:szCs w:val="32"/>
        </w:rPr>
      </w:pPr>
    </w:p>
    <w:p>
      <w:pPr>
        <w:rPr>
          <w:rFonts w:hint="eastAsia" w:ascii="黑体" w:eastAsia="黑体"/>
          <w:sz w:val="32"/>
          <w:szCs w:val="32"/>
        </w:rPr>
      </w:pPr>
    </w:p>
    <w:p>
      <w:pPr>
        <w:spacing w:before="312" w:after="156" w:line="480" w:lineRule="auto"/>
        <w:ind w:firstLine="320"/>
        <w:rPr>
          <w:rFonts w:hint="eastAsia" w:ascii="黑体" w:eastAsia="黑体"/>
          <w:sz w:val="32"/>
          <w:szCs w:val="32"/>
        </w:rPr>
      </w:pPr>
      <w:r>
        <w:rPr>
          <w:rFonts w:hint="eastAsia" w:ascii="黑体" w:eastAsia="黑体"/>
          <w:sz w:val="32"/>
          <w:szCs w:val="32"/>
        </w:rPr>
        <w:t>工程名称：</w:t>
      </w:r>
      <w:r>
        <w:rPr>
          <w:rFonts w:hint="eastAsia" w:ascii="黑体" w:eastAsia="黑体"/>
          <w:sz w:val="32"/>
          <w:szCs w:val="32"/>
          <w:u w:val="single"/>
        </w:rPr>
        <w:t xml:space="preserve">         　　　                  </w:t>
      </w:r>
    </w:p>
    <w:p>
      <w:pPr>
        <w:spacing w:before="312" w:after="156" w:line="480" w:lineRule="auto"/>
        <w:ind w:firstLine="320"/>
        <w:rPr>
          <w:rFonts w:hint="eastAsia" w:ascii="黑体" w:eastAsia="黑体"/>
          <w:sz w:val="32"/>
          <w:szCs w:val="32"/>
        </w:rPr>
      </w:pPr>
      <w:r>
        <w:rPr>
          <w:rFonts w:hint="eastAsia" w:ascii="黑体" w:eastAsia="黑体"/>
          <w:sz w:val="32"/>
          <w:szCs w:val="32"/>
        </w:rPr>
        <w:t>工程地点：</w:t>
      </w:r>
      <w:r>
        <w:rPr>
          <w:rFonts w:hint="eastAsia" w:ascii="黑体" w:eastAsia="黑体"/>
          <w:sz w:val="32"/>
          <w:szCs w:val="32"/>
          <w:u w:val="single"/>
        </w:rPr>
        <w:t xml:space="preserve">            　　　               </w:t>
      </w:r>
    </w:p>
    <w:p>
      <w:pPr>
        <w:spacing w:before="312" w:after="156" w:line="480" w:lineRule="auto"/>
        <w:ind w:firstLine="320"/>
        <w:rPr>
          <w:rFonts w:hint="eastAsia" w:ascii="黑体" w:eastAsia="黑体"/>
          <w:sz w:val="32"/>
          <w:szCs w:val="32"/>
        </w:rPr>
      </w:pPr>
      <w:r>
        <w:rPr>
          <w:rFonts w:hint="eastAsia" w:ascii="黑体" w:eastAsia="黑体"/>
          <w:sz w:val="32"/>
          <w:szCs w:val="32"/>
        </w:rPr>
        <w:t>发 包 人：</w:t>
      </w:r>
      <w:r>
        <w:rPr>
          <w:rFonts w:hint="eastAsia" w:ascii="黑体" w:eastAsia="黑体"/>
          <w:sz w:val="32"/>
          <w:szCs w:val="32"/>
          <w:u w:val="single"/>
        </w:rPr>
        <w:t xml:space="preserve">             　　　              </w:t>
      </w:r>
    </w:p>
    <w:p>
      <w:pPr>
        <w:spacing w:before="312" w:after="156" w:line="480" w:lineRule="auto"/>
        <w:ind w:firstLine="320"/>
        <w:rPr>
          <w:rFonts w:hint="eastAsia" w:ascii="黑体" w:eastAsia="黑体"/>
          <w:sz w:val="32"/>
          <w:szCs w:val="32"/>
          <w:u w:val="single"/>
        </w:rPr>
      </w:pPr>
      <w:r>
        <w:rPr>
          <w:rFonts w:hint="eastAsia" w:ascii="黑体" w:eastAsia="黑体"/>
          <w:sz w:val="32"/>
          <w:szCs w:val="32"/>
        </w:rPr>
        <w:t>承 包 人：</w:t>
      </w:r>
      <w:r>
        <w:rPr>
          <w:rFonts w:hint="eastAsia" w:ascii="黑体" w:eastAsia="黑体"/>
          <w:sz w:val="32"/>
          <w:szCs w:val="32"/>
          <w:u w:val="single"/>
        </w:rPr>
        <w:t xml:space="preserve">                　　　           </w:t>
      </w:r>
    </w:p>
    <w:p>
      <w:pPr>
        <w:ind w:firstLine="960"/>
        <w:rPr>
          <w:rFonts w:hint="eastAsia" w:ascii="黑体" w:hAnsi="宋体" w:eastAsia="黑体"/>
          <w:sz w:val="32"/>
          <w:szCs w:val="32"/>
          <w:u w:val="single"/>
        </w:rPr>
      </w:pPr>
    </w:p>
    <w:p>
      <w:pPr>
        <w:rPr>
          <w:rFonts w:hint="eastAsia" w:ascii="黑体" w:hAnsi="宋体" w:eastAsia="黑体"/>
        </w:rPr>
      </w:pPr>
    </w:p>
    <w:p>
      <w:pPr>
        <w:rPr>
          <w:rFonts w:hint="eastAsia" w:ascii="黑体" w:hAnsi="宋体" w:eastAsia="黑体"/>
        </w:rPr>
      </w:pPr>
    </w:p>
    <w:p>
      <w:pPr>
        <w:jc w:val="center"/>
        <w:rPr>
          <w:rFonts w:hint="eastAsia"/>
          <w:b/>
          <w:sz w:val="52"/>
          <w:szCs w:val="52"/>
          <w:highlight w:val="none"/>
        </w:rPr>
      </w:pPr>
      <w:r>
        <w:rPr>
          <w:rFonts w:hint="eastAsia" w:ascii="黑体" w:hAnsi="宋体" w:eastAsia="黑体"/>
          <w:sz w:val="28"/>
          <w:szCs w:val="28"/>
        </w:rPr>
        <w:t>201</w:t>
      </w:r>
      <w:r>
        <w:rPr>
          <w:rFonts w:ascii="黑体" w:hAnsi="宋体" w:eastAsia="黑体"/>
          <w:sz w:val="28"/>
          <w:szCs w:val="28"/>
        </w:rPr>
        <w:t>5</w:t>
      </w:r>
      <w:r>
        <w:rPr>
          <w:rFonts w:hint="eastAsia" w:ascii="黑体" w:hAnsi="宋体" w:eastAsia="黑体"/>
          <w:sz w:val="28"/>
          <w:szCs w:val="28"/>
        </w:rPr>
        <w:t>年版</w:t>
      </w:r>
      <w:r>
        <w:rPr>
          <w:rFonts w:hint="eastAsia"/>
          <w:b/>
          <w:sz w:val="52"/>
          <w:szCs w:val="52"/>
          <w:highlight w:val="none"/>
        </w:rPr>
        <w:br w:type="page"/>
      </w:r>
    </w:p>
    <w:p>
      <w:pPr>
        <w:jc w:val="center"/>
        <w:rPr>
          <w:rFonts w:hint="eastAsia" w:ascii="宋体" w:hAnsi="宋体" w:eastAsia="宋体" w:cs="宋体"/>
          <w:b/>
          <w:bCs/>
          <w:sz w:val="32"/>
          <w:szCs w:val="32"/>
        </w:rPr>
      </w:pPr>
      <w:r>
        <w:rPr>
          <w:rFonts w:hint="eastAsia" w:ascii="宋体" w:hAnsi="宋体" w:eastAsia="宋体" w:cs="宋体"/>
          <w:b/>
          <w:bCs/>
          <w:sz w:val="32"/>
          <w:szCs w:val="32"/>
        </w:rPr>
        <w:t>说 明</w:t>
      </w:r>
    </w:p>
    <w:p>
      <w:pPr>
        <w:ind w:firstLine="480"/>
        <w:rPr>
          <w:rFonts w:hint="eastAsia" w:ascii="宋体" w:hAnsi="宋体" w:eastAsia="宋体" w:cs="宋体"/>
          <w:sz w:val="24"/>
        </w:rPr>
      </w:pPr>
    </w:p>
    <w:p>
      <w:pPr>
        <w:spacing w:line="360" w:lineRule="auto"/>
        <w:ind w:firstLine="480"/>
        <w:rPr>
          <w:rFonts w:hint="eastAsia" w:ascii="宋体" w:hAnsi="宋体" w:eastAsia="宋体" w:cs="宋体"/>
          <w:sz w:val="24"/>
        </w:rPr>
      </w:pPr>
      <w:r>
        <w:rPr>
          <w:rFonts w:hint="eastAsia" w:ascii="宋体" w:hAnsi="宋体" w:eastAsia="宋体" w:cs="宋体"/>
          <w:sz w:val="24"/>
        </w:rPr>
        <w:t>本合同(示范文本)根据《中华人民共和国民法典》、《中华人民共和国建筑法》、《中华人民共和国招标投标法》等法律以及深圳市相关的法规,借鉴国际通用的工程施工合同和住房城乡建设部、国家工商行政管理总局制定的《建设工程施工合同示范文本》（GF－2017-0201）,结合深圳市现行施工合同(示范文本)近几年的实践情况,由深圳市建设工程造价管理站编制而成。</w:t>
      </w:r>
    </w:p>
    <w:p>
      <w:pPr>
        <w:spacing w:line="360" w:lineRule="auto"/>
        <w:ind w:firstLine="480"/>
        <w:rPr>
          <w:rFonts w:hint="eastAsia" w:ascii="宋体" w:hAnsi="宋体" w:eastAsia="宋体" w:cs="宋体"/>
          <w:bCs/>
          <w:sz w:val="24"/>
        </w:rPr>
      </w:pPr>
      <w:r>
        <w:rPr>
          <w:rFonts w:hint="eastAsia" w:ascii="宋体" w:hAnsi="宋体" w:eastAsia="宋体" w:cs="宋体"/>
          <w:bCs/>
          <w:sz w:val="24"/>
        </w:rPr>
        <w:t>一、《示范文本》的组成</w:t>
      </w:r>
    </w:p>
    <w:p>
      <w:pPr>
        <w:spacing w:line="360" w:lineRule="auto"/>
        <w:ind w:firstLine="480"/>
        <w:rPr>
          <w:rFonts w:hint="eastAsia" w:ascii="宋体" w:hAnsi="宋体" w:eastAsia="宋体" w:cs="宋体"/>
          <w:sz w:val="24"/>
        </w:rPr>
      </w:pPr>
      <w:r>
        <w:rPr>
          <w:rFonts w:hint="eastAsia" w:ascii="宋体" w:hAnsi="宋体" w:eastAsia="宋体" w:cs="宋体"/>
          <w:sz w:val="24"/>
        </w:rPr>
        <w:t>本合同(示范文本)由“协议书”、“通用条款”、“专用条款”和“补充条款”四部分组成。其中：</w:t>
      </w:r>
    </w:p>
    <w:p>
      <w:pPr>
        <w:spacing w:line="360" w:lineRule="auto"/>
        <w:ind w:firstLine="480"/>
        <w:rPr>
          <w:rFonts w:hint="eastAsia" w:ascii="宋体" w:hAnsi="宋体" w:eastAsia="宋体" w:cs="宋体"/>
          <w:sz w:val="24"/>
        </w:rPr>
      </w:pPr>
      <w:r>
        <w:rPr>
          <w:rFonts w:hint="eastAsia" w:ascii="宋体" w:hAnsi="宋体" w:eastAsia="宋体" w:cs="宋体"/>
          <w:sz w:val="24"/>
        </w:rPr>
        <w:t>1.“协议书”作为合同文本的第一部分,是发包人与承包人就合同内容协商达成一致意见后,相互承诺履行合同而签署的协议。《协议书》包括工程概况、工程承包范围、合同工期、质量标准、合同价格等合同主要内容,明确了组成合同的所有文件，并约定了合同生效的方式及合同订立的时间、地点，集中约定了承发包双方基本的合同权利义务。</w:t>
      </w:r>
    </w:p>
    <w:p>
      <w:pPr>
        <w:spacing w:line="360" w:lineRule="auto"/>
        <w:ind w:firstLine="480"/>
        <w:rPr>
          <w:rFonts w:hint="eastAsia" w:ascii="宋体" w:hAnsi="宋体" w:eastAsia="宋体" w:cs="宋体"/>
          <w:sz w:val="24"/>
        </w:rPr>
      </w:pPr>
      <w:r>
        <w:rPr>
          <w:rFonts w:hint="eastAsia" w:ascii="宋体" w:hAnsi="宋体" w:eastAsia="宋体" w:cs="宋体"/>
          <w:sz w:val="24"/>
        </w:rPr>
        <w:t>2.“通用条款”是根据现行法律、法规、规章等规定，就工程建设的实施及相关事项，对发包人与承包人的权利义务作出的原则性约定。既考虑了现行法律法规对工程建设的有关要求，也考虑了建设工程施工管理的实际需要，具有较强的普遍性和通用性，是通用于建设工程施工的基础性合同条款。</w:t>
      </w:r>
    </w:p>
    <w:p>
      <w:pPr>
        <w:spacing w:line="360" w:lineRule="auto"/>
        <w:ind w:firstLine="480"/>
        <w:rPr>
          <w:rFonts w:hint="eastAsia" w:ascii="宋体" w:hAnsi="宋体" w:eastAsia="宋体" w:cs="宋体"/>
          <w:sz w:val="24"/>
        </w:rPr>
      </w:pPr>
      <w:r>
        <w:rPr>
          <w:rFonts w:hint="eastAsia" w:ascii="宋体" w:hAnsi="宋体" w:eastAsia="宋体" w:cs="宋体"/>
          <w:sz w:val="24"/>
        </w:rPr>
        <w:t>3.“专用条款”是指对通用条款原则性约定的细化、完善、补充、修改或另行约定的条款。发包人与承包人可根据法律、法规和规章的规定，结合具体工程实际，经过双方的谈判、协商达成一致意见，对应通用条款的内容，对不明确的条款作出具体约定；对不适用的条款作出修改；对缺少的内容作出补充；使合同更具可操作性，便于理解和履行。</w:t>
      </w:r>
    </w:p>
    <w:p>
      <w:pPr>
        <w:spacing w:line="360" w:lineRule="auto"/>
        <w:ind w:firstLine="480"/>
        <w:rPr>
          <w:rFonts w:hint="eastAsia" w:ascii="宋体" w:hAnsi="宋体" w:eastAsia="宋体" w:cs="宋体"/>
          <w:sz w:val="24"/>
        </w:rPr>
      </w:pPr>
      <w:r>
        <w:rPr>
          <w:rFonts w:hint="eastAsia" w:ascii="宋体" w:hAnsi="宋体" w:eastAsia="宋体" w:cs="宋体"/>
          <w:sz w:val="24"/>
        </w:rPr>
        <w:t>4.“补充条款”是对合同中通用条款和专用条款未约定或约定不明确的内容进行补充约定的条款。</w:t>
      </w:r>
    </w:p>
    <w:p>
      <w:pPr>
        <w:spacing w:line="360" w:lineRule="auto"/>
        <w:ind w:firstLine="480"/>
        <w:rPr>
          <w:rFonts w:hint="eastAsia" w:ascii="宋体" w:hAnsi="宋体" w:eastAsia="宋体" w:cs="宋体"/>
          <w:sz w:val="24"/>
        </w:rPr>
      </w:pPr>
      <w:r>
        <w:rPr>
          <w:rFonts w:hint="eastAsia" w:ascii="宋体" w:hAnsi="宋体" w:eastAsia="宋体" w:cs="宋体"/>
          <w:sz w:val="24"/>
        </w:rPr>
        <w:t>二、专用条款使用注意事项</w:t>
      </w:r>
    </w:p>
    <w:p>
      <w:pPr>
        <w:spacing w:line="360" w:lineRule="auto"/>
        <w:ind w:firstLine="480"/>
        <w:rPr>
          <w:rFonts w:hint="eastAsia" w:ascii="宋体" w:hAnsi="宋体" w:eastAsia="宋体" w:cs="宋体"/>
          <w:sz w:val="24"/>
        </w:rPr>
      </w:pPr>
      <w:r>
        <w:rPr>
          <w:rFonts w:hint="eastAsia" w:ascii="宋体" w:hAnsi="宋体" w:eastAsia="宋体" w:cs="宋体"/>
          <w:sz w:val="24"/>
        </w:rPr>
        <w:t>1.专用条款的编号应与相应的通用条款的编号一致。</w:t>
      </w:r>
    </w:p>
    <w:p>
      <w:pPr>
        <w:spacing w:line="360" w:lineRule="auto"/>
        <w:ind w:firstLine="480"/>
        <w:rPr>
          <w:rFonts w:hint="eastAsia" w:ascii="宋体" w:hAnsi="宋体" w:eastAsia="宋体" w:cs="宋体"/>
          <w:sz w:val="24"/>
        </w:rPr>
      </w:pPr>
      <w:r>
        <w:rPr>
          <w:rFonts w:hint="eastAsia" w:ascii="宋体" w:hAnsi="宋体" w:eastAsia="宋体" w:cs="宋体"/>
          <w:sz w:val="24"/>
        </w:rPr>
        <w:t>2.在专用条款中有横道线的地方，承发包双方可针对相应的通用条款进行细化、完善、补充、修改或另行约定；如无细化、完善、补充、修改或另行约定，则填写“无”或划“/”。</w:t>
      </w:r>
    </w:p>
    <w:p>
      <w:pPr>
        <w:spacing w:line="360" w:lineRule="auto"/>
        <w:ind w:firstLine="480"/>
        <w:rPr>
          <w:rFonts w:hint="eastAsia" w:ascii="宋体" w:hAnsi="宋体" w:eastAsia="宋体" w:cs="宋体"/>
          <w:sz w:val="24"/>
        </w:rPr>
      </w:pPr>
      <w:r>
        <w:rPr>
          <w:rFonts w:hint="eastAsia" w:ascii="宋体" w:hAnsi="宋体" w:eastAsia="宋体" w:cs="宋体"/>
          <w:sz w:val="24"/>
        </w:rPr>
        <w:t>3.“通用条款”和“专用条款”一并作为完整的合同条款，当两者之间有不符之处，以“专用条款”为准。“通用条款”中出现斜体字加粗“</w:t>
      </w:r>
      <w:r>
        <w:rPr>
          <w:rFonts w:hint="eastAsia" w:ascii="宋体" w:hAnsi="宋体" w:eastAsia="宋体" w:cs="宋体"/>
          <w:b/>
          <w:i/>
          <w:sz w:val="24"/>
        </w:rPr>
        <w:t>专用条款</w:t>
      </w:r>
      <w:r>
        <w:rPr>
          <w:rFonts w:hint="eastAsia" w:ascii="宋体" w:hAnsi="宋体" w:eastAsia="宋体" w:cs="宋体"/>
          <w:sz w:val="24"/>
        </w:rPr>
        <w:t>”字样的条文在相应“专用条款”的条文中有明确的约定。应按照同一编号的条款一起阅读和理解。</w:t>
      </w:r>
    </w:p>
    <w:p>
      <w:pPr>
        <w:spacing w:line="360" w:lineRule="auto"/>
        <w:ind w:firstLine="480"/>
        <w:rPr>
          <w:rFonts w:hint="eastAsia" w:ascii="宋体" w:hAnsi="宋体" w:eastAsia="宋体" w:cs="宋体"/>
          <w:b/>
          <w:sz w:val="24"/>
        </w:rPr>
      </w:pPr>
      <w:r>
        <w:rPr>
          <w:rFonts w:hint="eastAsia" w:ascii="宋体" w:hAnsi="宋体" w:eastAsia="宋体" w:cs="宋体"/>
          <w:bCs/>
          <w:sz w:val="24"/>
        </w:rPr>
        <w:t>三、《示范文本》的性质和适用范围</w:t>
      </w:r>
    </w:p>
    <w:p>
      <w:pPr>
        <w:spacing w:line="360" w:lineRule="auto"/>
        <w:ind w:firstLine="480"/>
        <w:rPr>
          <w:rFonts w:hint="eastAsia" w:ascii="宋体" w:hAnsi="宋体" w:eastAsia="宋体" w:cs="宋体"/>
          <w:sz w:val="24"/>
        </w:rPr>
      </w:pPr>
      <w:r>
        <w:rPr>
          <w:rFonts w:hint="eastAsia" w:ascii="宋体" w:hAnsi="宋体" w:eastAsia="宋体" w:cs="宋体"/>
          <w:sz w:val="24"/>
        </w:rPr>
        <w:t>本合同(示范文本)适用于房屋建筑工程、土木工程、线路管道和设备安装工程、装修工程等建设招标工程</w:t>
      </w:r>
      <w:r>
        <w:rPr>
          <w:rFonts w:hint="eastAsia" w:ascii="宋体" w:hAnsi="宋体" w:eastAsia="宋体" w:cs="宋体"/>
          <w:b/>
          <w:sz w:val="24"/>
        </w:rPr>
        <w:t>固定单价施工合同</w:t>
      </w:r>
      <w:r>
        <w:rPr>
          <w:rFonts w:hint="eastAsia" w:ascii="宋体" w:hAnsi="宋体" w:eastAsia="宋体" w:cs="宋体"/>
          <w:sz w:val="24"/>
        </w:rPr>
        <w:t>,发包人与承包人可结合建设工程具体情况，参考本合同(示范文本)订立合同，并按照法律法规规定和合同约定承担相应的法律责任及合同权利义务。</w:t>
      </w:r>
    </w:p>
    <w:p>
      <w:pPr>
        <w:spacing w:line="360" w:lineRule="auto"/>
        <w:ind w:firstLine="480"/>
        <w:rPr>
          <w:rFonts w:hint="eastAsia" w:ascii="宋体" w:hAnsi="宋体"/>
          <w:sz w:val="24"/>
        </w:rPr>
      </w:pPr>
    </w:p>
    <w:p>
      <w:pPr>
        <w:spacing w:line="360" w:lineRule="auto"/>
        <w:ind w:firstLine="560"/>
        <w:rPr>
          <w:rFonts w:hint="eastAsia" w:ascii="黑体" w:hAnsi="黑体" w:eastAsia="黑体" w:cs="黑体"/>
          <w:sz w:val="28"/>
          <w:szCs w:val="28"/>
        </w:rPr>
      </w:pPr>
      <w:r>
        <w:rPr>
          <w:rFonts w:hint="eastAsia" w:ascii="黑体" w:hAnsi="黑体" w:eastAsia="黑体" w:cs="黑体"/>
          <w:sz w:val="28"/>
          <w:szCs w:val="28"/>
        </w:rPr>
        <w:t>《示范文本》使用过程中，如有任何疑问或不明之处,请及时向专业人士咨询。</w:t>
      </w:r>
    </w:p>
    <w:p>
      <w:pPr>
        <w:spacing w:line="360" w:lineRule="auto"/>
        <w:ind w:firstLine="560"/>
        <w:rPr>
          <w:rFonts w:hint="eastAsia" w:ascii="黑体" w:hAnsi="黑体" w:eastAsia="黑体" w:cs="黑体"/>
          <w:sz w:val="28"/>
          <w:szCs w:val="28"/>
        </w:rPr>
      </w:pPr>
      <w:r>
        <w:rPr>
          <w:rFonts w:hint="eastAsia" w:ascii="黑体" w:hAnsi="黑体" w:eastAsia="黑体" w:cs="黑体"/>
          <w:sz w:val="28"/>
          <w:szCs w:val="28"/>
        </w:rPr>
        <w:t>任何单位或个人未经深圳市建设工程造价管理站同意，不得以任何形式销售本合同(示范文本)及其中的任何部分。</w:t>
      </w:r>
    </w:p>
    <w:p>
      <w:pPr>
        <w:spacing w:line="360" w:lineRule="auto"/>
        <w:ind w:firstLine="560"/>
        <w:rPr>
          <w:rFonts w:hint="eastAsia" w:ascii="黑体" w:hAnsi="黑体" w:eastAsia="黑体" w:cs="黑体"/>
          <w:sz w:val="28"/>
          <w:szCs w:val="28"/>
        </w:rPr>
      </w:pPr>
      <w:r>
        <w:rPr>
          <w:rFonts w:hint="eastAsia" w:ascii="黑体" w:hAnsi="黑体" w:eastAsia="黑体" w:cs="黑体"/>
          <w:sz w:val="28"/>
          <w:szCs w:val="28"/>
        </w:rPr>
        <w:t>本次印发版次为SFD-2015-04，即2015版第四版。</w:t>
      </w:r>
    </w:p>
    <w:p>
      <w:pPr>
        <w:rPr>
          <w:rFonts w:hint="eastAsia"/>
          <w:b/>
          <w:sz w:val="52"/>
          <w:szCs w:val="52"/>
          <w:highlight w:val="none"/>
        </w:rPr>
      </w:pPr>
      <w:r>
        <w:rPr>
          <w:rFonts w:hint="eastAsia"/>
          <w:lang w:val="en-US" w:eastAsia="zh-CN"/>
        </w:rPr>
        <w:t xml:space="preserve">                        </w:t>
      </w:r>
      <w:r>
        <w:t xml:space="preserve"> </w:t>
      </w:r>
      <w:r>
        <w:drawing>
          <wp:inline distT="0" distB="0" distL="114300" distR="114300">
            <wp:extent cx="2446655" cy="941705"/>
            <wp:effectExtent l="0" t="0" r="10795" b="10795"/>
            <wp:docPr id="134"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93"/>
                    <pic:cNvPicPr>
                      <a:picLocks noChangeAspect="1"/>
                    </pic:cNvPicPr>
                  </pic:nvPicPr>
                  <pic:blipFill>
                    <a:blip r:embed="rId6"/>
                    <a:stretch>
                      <a:fillRect/>
                    </a:stretch>
                  </pic:blipFill>
                  <pic:spPr>
                    <a:xfrm>
                      <a:off x="0" y="0"/>
                      <a:ext cx="2446655" cy="941705"/>
                    </a:xfrm>
                    <a:prstGeom prst="rect">
                      <a:avLst/>
                    </a:prstGeom>
                    <a:noFill/>
                    <a:ln>
                      <a:noFill/>
                    </a:ln>
                  </pic:spPr>
                </pic:pic>
              </a:graphicData>
            </a:graphic>
          </wp:inline>
        </w:drawing>
      </w:r>
    </w:p>
    <w:p>
      <w:pPr>
        <w:rPr>
          <w:rFonts w:hint="eastAsia"/>
          <w:b/>
          <w:sz w:val="52"/>
          <w:szCs w:val="52"/>
          <w:highlight w:val="none"/>
        </w:rPr>
      </w:pPr>
      <w:r>
        <w:rPr>
          <w:rFonts w:hint="eastAsia"/>
          <w:b/>
          <w:sz w:val="52"/>
          <w:szCs w:val="52"/>
          <w:highlight w:val="none"/>
        </w:rPr>
        <w:br w:type="page"/>
      </w:r>
    </w:p>
    <w:p>
      <w:pPr>
        <w:pStyle w:val="2"/>
        <w:keepNext w:val="0"/>
        <w:keepLines w:val="0"/>
        <w:numPr>
          <w:ilvl w:val="0"/>
          <w:numId w:val="0"/>
        </w:numPr>
        <w:spacing w:before="240" w:after="240"/>
        <w:jc w:val="center"/>
        <w:rPr>
          <w:rFonts w:hint="eastAsia" w:ascii="宋体" w:hAnsi="宋体" w:eastAsia="宋体" w:cs="宋体"/>
          <w:sz w:val="32"/>
        </w:rPr>
      </w:pPr>
      <w:bookmarkStart w:id="36" w:name="_Toc302635677"/>
      <w:bookmarkStart w:id="37" w:name="_Toc67418463"/>
      <w:bookmarkStart w:id="38" w:name="_Toc13754"/>
      <w:r>
        <w:rPr>
          <w:rFonts w:hint="eastAsia" w:ascii="宋体" w:hAnsi="宋体" w:eastAsia="宋体" w:cs="宋体"/>
          <w:sz w:val="32"/>
        </w:rPr>
        <w:t>第一部分 协议书</w:t>
      </w:r>
      <w:bookmarkEnd w:id="36"/>
      <w:bookmarkEnd w:id="37"/>
      <w:bookmarkEnd w:id="38"/>
    </w:p>
    <w:p>
      <w:pPr>
        <w:spacing w:line="360" w:lineRule="auto"/>
        <w:ind w:firstLine="519"/>
        <w:rPr>
          <w:rFonts w:hint="eastAsia" w:ascii="宋体" w:hAnsi="宋体" w:eastAsia="宋体" w:cs="宋体"/>
          <w:b/>
          <w:bCs/>
          <w:sz w:val="24"/>
        </w:rPr>
      </w:pPr>
      <w:r>
        <w:rPr>
          <w:rFonts w:hint="eastAsia" w:ascii="宋体" w:hAnsi="宋体" w:eastAsia="宋体" w:cs="宋体"/>
          <w:b/>
          <w:bCs/>
          <w:sz w:val="24"/>
        </w:rPr>
        <w:t>发包人</w:t>
      </w:r>
      <w:r>
        <w:rPr>
          <w:rFonts w:hint="eastAsia" w:ascii="宋体" w:hAnsi="宋体" w:eastAsia="宋体" w:cs="宋体"/>
          <w:bCs/>
          <w:sz w:val="24"/>
        </w:rPr>
        <w:t>(全称)：</w:t>
      </w:r>
      <w:r>
        <w:rPr>
          <w:rFonts w:hint="eastAsia" w:ascii="宋体" w:hAnsi="宋体" w:eastAsia="宋体" w:cs="宋体"/>
          <w:sz w:val="24"/>
          <w:u w:val="single"/>
        </w:rPr>
        <w:t xml:space="preserve"> </w:t>
      </w:r>
      <w:r>
        <w:rPr>
          <w:rFonts w:hint="eastAsia" w:ascii="宋体" w:hAnsi="宋体" w:eastAsia="宋体" w:cs="宋体"/>
          <w:b/>
          <w:bCs/>
          <w:sz w:val="24"/>
          <w:u w:val="single"/>
        </w:rPr>
        <w:t xml:space="preserve">                                    </w:t>
      </w:r>
      <w:r>
        <w:rPr>
          <w:rFonts w:hint="eastAsia" w:ascii="宋体" w:hAnsi="宋体" w:eastAsia="宋体" w:cs="宋体"/>
          <w:sz w:val="24"/>
          <w:u w:val="single"/>
        </w:rPr>
        <w:t xml:space="preserve"> </w:t>
      </w:r>
    </w:p>
    <w:p>
      <w:pPr>
        <w:spacing w:line="360" w:lineRule="auto"/>
        <w:ind w:firstLine="519"/>
        <w:rPr>
          <w:rFonts w:hint="eastAsia" w:ascii="宋体" w:hAnsi="宋体" w:eastAsia="宋体" w:cs="宋体"/>
          <w:b/>
          <w:bCs/>
          <w:sz w:val="24"/>
        </w:rPr>
      </w:pPr>
      <w:r>
        <w:rPr>
          <w:rFonts w:hint="eastAsia" w:ascii="宋体" w:hAnsi="宋体" w:eastAsia="宋体" w:cs="宋体"/>
          <w:b/>
          <w:bCs/>
          <w:sz w:val="24"/>
        </w:rPr>
        <w:t>承包人</w:t>
      </w:r>
      <w:r>
        <w:rPr>
          <w:rFonts w:hint="eastAsia" w:ascii="宋体" w:hAnsi="宋体" w:eastAsia="宋体" w:cs="宋体"/>
          <w:bCs/>
          <w:sz w:val="24"/>
        </w:rPr>
        <w:t>(全称)</w:t>
      </w:r>
      <w:r>
        <w:rPr>
          <w:rFonts w:hint="eastAsia" w:ascii="宋体" w:hAnsi="宋体" w:eastAsia="宋体" w:cs="宋体"/>
          <w:b/>
          <w:bCs/>
          <w:sz w:val="24"/>
        </w:rPr>
        <w:t>：</w:t>
      </w:r>
      <w:r>
        <w:rPr>
          <w:rFonts w:hint="eastAsia" w:ascii="宋体" w:hAnsi="宋体" w:eastAsia="宋体" w:cs="宋体"/>
          <w:sz w:val="24"/>
          <w:u w:val="single"/>
        </w:rPr>
        <w:t xml:space="preserve">                                      </w:t>
      </w:r>
    </w:p>
    <w:p>
      <w:pPr>
        <w:spacing w:line="360" w:lineRule="auto"/>
        <w:ind w:firstLine="480"/>
        <w:rPr>
          <w:rFonts w:hint="eastAsia" w:ascii="宋体" w:hAnsi="宋体" w:eastAsia="宋体" w:cs="宋体"/>
          <w:sz w:val="24"/>
        </w:rPr>
      </w:pPr>
      <w:r>
        <w:rPr>
          <w:rFonts w:hint="eastAsia" w:ascii="宋体" w:hAnsi="宋体" w:eastAsia="宋体" w:cs="宋体"/>
          <w:sz w:val="24"/>
        </w:rPr>
        <w:t>根据《中华人民共和国民法典》、《中华人民共和国建筑法》、《深圳经济特区建设工程施工招标投标条例》及其他有关法律、法规，遵循平等、自愿、公平和诚实信用的原则，发包人和承包人就本工程施工事项协商一致，订立本合同，达成协议如下：</w:t>
      </w:r>
    </w:p>
    <w:p>
      <w:pPr>
        <w:pStyle w:val="2"/>
        <w:keepNext w:val="0"/>
        <w:keepLines w:val="0"/>
        <w:numPr>
          <w:ilvl w:val="0"/>
          <w:numId w:val="0"/>
        </w:numPr>
        <w:spacing w:before="0" w:after="0"/>
        <w:rPr>
          <w:rFonts w:hint="eastAsia" w:ascii="宋体" w:hAnsi="宋体" w:eastAsia="宋体" w:cs="宋体"/>
          <w:sz w:val="30"/>
        </w:rPr>
      </w:pPr>
      <w:bookmarkStart w:id="39" w:name="_Toc20779"/>
      <w:bookmarkStart w:id="40" w:name="_Toc302635678"/>
      <w:bookmarkStart w:id="41" w:name="_Toc67418464"/>
      <w:r>
        <w:rPr>
          <w:rFonts w:hint="eastAsia" w:ascii="宋体" w:hAnsi="宋体" w:eastAsia="宋体" w:cs="宋体"/>
          <w:sz w:val="30"/>
        </w:rPr>
        <w:t>一、工程概况</w:t>
      </w:r>
      <w:bookmarkEnd w:id="39"/>
      <w:bookmarkEnd w:id="40"/>
      <w:bookmarkEnd w:id="41"/>
    </w:p>
    <w:p>
      <w:pPr>
        <w:spacing w:line="360" w:lineRule="auto"/>
        <w:ind w:firstLine="480"/>
        <w:rPr>
          <w:rFonts w:hint="eastAsia" w:ascii="宋体" w:hAnsi="宋体" w:eastAsia="宋体" w:cs="宋体"/>
          <w:sz w:val="24"/>
        </w:rPr>
      </w:pPr>
      <w:r>
        <w:rPr>
          <w:rFonts w:hint="eastAsia" w:ascii="宋体" w:hAnsi="宋体" w:eastAsia="宋体" w:cs="宋体"/>
          <w:sz w:val="24"/>
        </w:rPr>
        <w:t>工程名称：</w:t>
      </w:r>
      <w:r>
        <w:rPr>
          <w:rFonts w:hint="eastAsia" w:ascii="宋体" w:hAnsi="宋体" w:eastAsia="宋体" w:cs="宋体"/>
          <w:sz w:val="24"/>
          <w:u w:val="single"/>
        </w:rPr>
        <w:t xml:space="preserve">                                                                </w:t>
      </w:r>
    </w:p>
    <w:p>
      <w:pPr>
        <w:spacing w:line="360" w:lineRule="auto"/>
        <w:ind w:firstLine="480"/>
        <w:rPr>
          <w:rFonts w:hint="eastAsia" w:ascii="宋体" w:hAnsi="宋体" w:eastAsia="宋体" w:cs="宋体"/>
          <w:sz w:val="24"/>
          <w:u w:val="single"/>
        </w:rPr>
      </w:pPr>
      <w:r>
        <w:rPr>
          <w:rFonts w:hint="eastAsia" w:ascii="宋体" w:hAnsi="宋体" w:eastAsia="宋体" w:cs="宋体"/>
          <w:sz w:val="24"/>
        </w:rPr>
        <w:t>工程地点：</w:t>
      </w:r>
      <w:r>
        <w:rPr>
          <w:rFonts w:hint="eastAsia" w:ascii="宋体" w:hAnsi="宋体" w:eastAsia="宋体" w:cs="宋体"/>
          <w:sz w:val="24"/>
          <w:u w:val="single"/>
        </w:rPr>
        <w:t xml:space="preserve">                                                           </w:t>
      </w:r>
    </w:p>
    <w:p>
      <w:pPr>
        <w:spacing w:line="360" w:lineRule="auto"/>
        <w:ind w:firstLine="480"/>
        <w:rPr>
          <w:rFonts w:hint="eastAsia" w:ascii="宋体" w:hAnsi="宋体" w:eastAsia="宋体" w:cs="宋体"/>
          <w:sz w:val="24"/>
          <w:u w:val="single"/>
        </w:rPr>
      </w:pPr>
      <w:r>
        <w:rPr>
          <w:rFonts w:hint="eastAsia" w:ascii="宋体" w:hAnsi="宋体" w:eastAsia="宋体" w:cs="宋体"/>
          <w:sz w:val="24"/>
        </w:rPr>
        <w:t>核准（备案）证编号：</w:t>
      </w:r>
      <w:r>
        <w:rPr>
          <w:rFonts w:hint="eastAsia" w:ascii="宋体" w:hAnsi="宋体" w:eastAsia="宋体" w:cs="宋体"/>
          <w:sz w:val="24"/>
          <w:u w:val="single"/>
        </w:rPr>
        <w:t xml:space="preserve">                                                 </w:t>
      </w:r>
    </w:p>
    <w:p>
      <w:pPr>
        <w:spacing w:line="360" w:lineRule="auto"/>
        <w:ind w:firstLine="480"/>
        <w:rPr>
          <w:rFonts w:hint="eastAsia" w:ascii="宋体" w:hAnsi="宋体" w:eastAsia="宋体" w:cs="宋体"/>
          <w:sz w:val="24"/>
          <w:u w:val="single"/>
        </w:rPr>
      </w:pPr>
      <w:r>
        <w:rPr>
          <w:rFonts w:hint="eastAsia" w:ascii="宋体" w:hAnsi="宋体" w:eastAsia="宋体" w:cs="宋体"/>
          <w:sz w:val="24"/>
        </w:rPr>
        <w:t>工程规模及特征：</w:t>
      </w:r>
      <w:r>
        <w:rPr>
          <w:rFonts w:hint="eastAsia" w:ascii="宋体" w:hAnsi="宋体" w:eastAsia="宋体" w:cs="宋体"/>
          <w:sz w:val="24"/>
          <w:u w:val="single"/>
        </w:rPr>
        <w:t xml:space="preserve">                                                   </w:t>
      </w:r>
    </w:p>
    <w:p>
      <w:pPr>
        <w:spacing w:line="360" w:lineRule="auto"/>
        <w:ind w:firstLine="480"/>
        <w:rPr>
          <w:rFonts w:hint="eastAsia" w:ascii="宋体" w:hAnsi="宋体" w:eastAsia="宋体" w:cs="宋体"/>
          <w:sz w:val="24"/>
          <w:u w:val="single"/>
        </w:rPr>
      </w:pPr>
      <w:r>
        <w:rPr>
          <w:rFonts w:hint="eastAsia" w:ascii="宋体" w:hAnsi="宋体" w:eastAsia="宋体" w:cs="宋体"/>
          <w:sz w:val="24"/>
          <w:u w:val="single"/>
        </w:rPr>
        <w:t xml:space="preserve">                                                                          </w:t>
      </w:r>
    </w:p>
    <w:p>
      <w:pPr>
        <w:spacing w:line="360" w:lineRule="auto"/>
        <w:ind w:firstLine="480"/>
        <w:rPr>
          <w:rFonts w:hint="eastAsia" w:ascii="宋体" w:hAnsi="宋体" w:eastAsia="宋体" w:cs="宋体"/>
          <w:sz w:val="24"/>
        </w:rPr>
      </w:pPr>
      <w:r>
        <w:rPr>
          <w:rFonts w:hint="eastAsia" w:ascii="宋体" w:hAnsi="宋体" w:eastAsia="宋体" w:cs="宋体"/>
          <w:sz w:val="24"/>
        </w:rPr>
        <w:t>资金来源：财政投入</w:t>
      </w:r>
      <w:r>
        <w:rPr>
          <w:rFonts w:hint="eastAsia" w:ascii="宋体" w:hAnsi="宋体" w:eastAsia="宋体" w:cs="宋体"/>
          <w:sz w:val="24"/>
          <w:u w:val="single"/>
        </w:rPr>
        <w:t xml:space="preserve">     </w:t>
      </w:r>
      <w:r>
        <w:rPr>
          <w:rFonts w:hint="eastAsia" w:ascii="宋体" w:hAnsi="宋体" w:eastAsia="宋体" w:cs="宋体"/>
          <w:sz w:val="24"/>
        </w:rPr>
        <w:t>%；国有资本</w:t>
      </w:r>
      <w:r>
        <w:rPr>
          <w:rFonts w:hint="eastAsia" w:ascii="宋体" w:hAnsi="宋体" w:eastAsia="宋体" w:cs="宋体"/>
          <w:sz w:val="24"/>
          <w:u w:val="single"/>
        </w:rPr>
        <w:t xml:space="preserve">    </w:t>
      </w:r>
      <w:r>
        <w:rPr>
          <w:rFonts w:hint="eastAsia" w:ascii="宋体" w:hAnsi="宋体" w:eastAsia="宋体" w:cs="宋体"/>
          <w:sz w:val="24"/>
        </w:rPr>
        <w:t>%；集体资本</w:t>
      </w:r>
      <w:r>
        <w:rPr>
          <w:rFonts w:hint="eastAsia" w:ascii="宋体" w:hAnsi="宋体" w:eastAsia="宋体" w:cs="宋体"/>
          <w:sz w:val="24"/>
          <w:u w:val="single"/>
        </w:rPr>
        <w:t xml:space="preserve">    </w:t>
      </w:r>
      <w:r>
        <w:rPr>
          <w:rFonts w:hint="eastAsia" w:ascii="宋体" w:hAnsi="宋体" w:eastAsia="宋体" w:cs="宋体"/>
          <w:sz w:val="24"/>
        </w:rPr>
        <w:t>%；民营资本</w:t>
      </w:r>
      <w:r>
        <w:rPr>
          <w:rFonts w:hint="eastAsia" w:ascii="宋体" w:hAnsi="宋体" w:eastAsia="宋体" w:cs="宋体"/>
          <w:sz w:val="24"/>
          <w:u w:val="single"/>
        </w:rPr>
        <w:t xml:space="preserve">    </w:t>
      </w:r>
      <w:r>
        <w:rPr>
          <w:rFonts w:hint="eastAsia" w:ascii="宋体" w:hAnsi="宋体" w:eastAsia="宋体" w:cs="宋体"/>
          <w:sz w:val="24"/>
        </w:rPr>
        <w:t>%；外商投资</w:t>
      </w:r>
      <w:r>
        <w:rPr>
          <w:rFonts w:hint="eastAsia" w:ascii="宋体" w:hAnsi="宋体" w:eastAsia="宋体" w:cs="宋体"/>
          <w:sz w:val="24"/>
          <w:u w:val="single"/>
        </w:rPr>
        <w:t xml:space="preserve">    </w:t>
      </w:r>
      <w:r>
        <w:rPr>
          <w:rFonts w:hint="eastAsia" w:ascii="宋体" w:hAnsi="宋体" w:eastAsia="宋体" w:cs="宋体"/>
          <w:sz w:val="24"/>
        </w:rPr>
        <w:t>%；混合经济</w:t>
      </w:r>
      <w:r>
        <w:rPr>
          <w:rFonts w:hint="eastAsia" w:ascii="宋体" w:hAnsi="宋体" w:eastAsia="宋体" w:cs="宋体"/>
          <w:sz w:val="24"/>
          <w:u w:val="single"/>
        </w:rPr>
        <w:t xml:space="preserve">     </w:t>
      </w:r>
      <w:r>
        <w:rPr>
          <w:rFonts w:hint="eastAsia" w:ascii="宋体" w:hAnsi="宋体" w:eastAsia="宋体" w:cs="宋体"/>
          <w:sz w:val="24"/>
        </w:rPr>
        <w:t>%； 其他</w:t>
      </w:r>
      <w:r>
        <w:rPr>
          <w:rFonts w:hint="eastAsia" w:ascii="宋体" w:hAnsi="宋体" w:eastAsia="宋体" w:cs="宋体"/>
          <w:sz w:val="24"/>
          <w:u w:val="single"/>
        </w:rPr>
        <w:t xml:space="preserve">     </w:t>
      </w:r>
      <w:r>
        <w:rPr>
          <w:rFonts w:hint="eastAsia" w:ascii="宋体" w:hAnsi="宋体" w:eastAsia="宋体" w:cs="宋体"/>
          <w:sz w:val="24"/>
        </w:rPr>
        <w:t>%。</w:t>
      </w:r>
    </w:p>
    <w:p>
      <w:pPr>
        <w:pStyle w:val="2"/>
        <w:keepNext w:val="0"/>
        <w:keepLines w:val="0"/>
        <w:numPr>
          <w:ilvl w:val="0"/>
          <w:numId w:val="0"/>
        </w:numPr>
        <w:spacing w:before="0" w:after="0"/>
        <w:rPr>
          <w:rFonts w:hint="eastAsia" w:ascii="宋体" w:hAnsi="宋体" w:eastAsia="宋体" w:cs="宋体"/>
          <w:sz w:val="30"/>
        </w:rPr>
      </w:pPr>
      <w:bookmarkStart w:id="42" w:name="_Toc302635679"/>
      <w:bookmarkStart w:id="43" w:name="_Toc3337"/>
      <w:bookmarkStart w:id="44" w:name="_Toc67418465"/>
      <w:r>
        <w:rPr>
          <w:rFonts w:hint="eastAsia" w:ascii="宋体" w:hAnsi="宋体" w:eastAsia="宋体" w:cs="宋体"/>
          <w:sz w:val="30"/>
        </w:rPr>
        <w:t>二、工程承包范围</w:t>
      </w:r>
      <w:bookmarkEnd w:id="42"/>
      <w:bookmarkEnd w:id="43"/>
      <w:bookmarkEnd w:id="44"/>
    </w:p>
    <w:p>
      <w:pPr>
        <w:spacing w:line="360" w:lineRule="auto"/>
        <w:ind w:firstLine="480"/>
        <w:rPr>
          <w:rFonts w:hint="eastAsia" w:ascii="宋体" w:hAnsi="宋体" w:eastAsia="宋体" w:cs="宋体"/>
          <w:sz w:val="24"/>
          <w:u w:val="single"/>
        </w:rPr>
      </w:pPr>
      <w:r>
        <w:rPr>
          <w:rFonts w:hint="eastAsia" w:ascii="宋体" w:hAnsi="宋体" w:eastAsia="宋体" w:cs="宋体"/>
          <w:sz w:val="24"/>
          <w:u w:val="single"/>
        </w:rPr>
        <w:t xml:space="preserve">                                                                   </w:t>
      </w:r>
    </w:p>
    <w:p>
      <w:pPr>
        <w:spacing w:line="360" w:lineRule="auto"/>
        <w:ind w:firstLine="480"/>
        <w:rPr>
          <w:rFonts w:hint="eastAsia" w:ascii="宋体" w:hAnsi="宋体" w:eastAsia="宋体" w:cs="宋体"/>
          <w:sz w:val="24"/>
          <w:u w:val="single"/>
        </w:rPr>
      </w:pPr>
      <w:r>
        <w:rPr>
          <w:rFonts w:hint="eastAsia" w:ascii="宋体" w:hAnsi="宋体" w:eastAsia="宋体" w:cs="宋体"/>
          <w:sz w:val="24"/>
          <w:u w:val="single"/>
        </w:rPr>
        <w:t xml:space="preserve">                                                                   </w:t>
      </w:r>
    </w:p>
    <w:p>
      <w:pPr>
        <w:spacing w:line="360" w:lineRule="auto"/>
        <w:ind w:firstLine="480"/>
        <w:rPr>
          <w:rFonts w:hint="eastAsia" w:ascii="宋体" w:hAnsi="宋体" w:eastAsia="宋体" w:cs="宋体"/>
          <w:sz w:val="24"/>
          <w:u w:val="single"/>
        </w:rPr>
      </w:pPr>
      <w:r>
        <w:rPr>
          <w:rFonts w:hint="eastAsia" w:ascii="宋体" w:hAnsi="宋体" w:eastAsia="宋体" w:cs="宋体"/>
          <w:sz w:val="24"/>
          <w:u w:val="single"/>
        </w:rPr>
        <w:t xml:space="preserve">                                                                   </w:t>
      </w:r>
    </w:p>
    <w:p>
      <w:pPr>
        <w:spacing w:line="360" w:lineRule="auto"/>
        <w:ind w:firstLine="480"/>
        <w:rPr>
          <w:rFonts w:hint="eastAsia" w:ascii="宋体" w:hAnsi="宋体" w:eastAsia="宋体" w:cs="宋体"/>
          <w:sz w:val="24"/>
          <w:u w:val="single"/>
        </w:rPr>
      </w:pPr>
      <w:r>
        <w:rPr>
          <w:rFonts w:hint="eastAsia" w:ascii="宋体" w:hAnsi="宋体" w:eastAsia="宋体" w:cs="宋体"/>
          <w:sz w:val="24"/>
          <w:u w:val="single"/>
        </w:rPr>
        <w:t xml:space="preserve">                                                                           </w:t>
      </w:r>
    </w:p>
    <w:p>
      <w:pPr>
        <w:spacing w:line="360" w:lineRule="auto"/>
        <w:rPr>
          <w:rFonts w:hint="eastAsia" w:ascii="宋体" w:hAnsi="宋体" w:eastAsia="宋体" w:cs="宋体"/>
          <w:b/>
          <w:sz w:val="24"/>
        </w:rPr>
      </w:pPr>
      <w:r>
        <w:rPr>
          <w:rFonts w:hint="eastAsia" w:ascii="宋体" w:hAnsi="宋体" w:eastAsia="宋体" w:cs="宋体"/>
          <w:b/>
          <w:sz w:val="24"/>
        </w:rPr>
        <w:t>1.市政公用及配套专业工程、其他工程：</w:t>
      </w:r>
      <w:r>
        <w:rPr>
          <w:rFonts w:hint="eastAsia" w:ascii="宋体" w:hAnsi="宋体" w:eastAsia="宋体" w:cs="宋体"/>
          <w:szCs w:val="21"/>
        </w:rPr>
        <w:t>(在□内打√，并填写相应的工程量)</w:t>
      </w:r>
    </w:p>
    <w:tbl>
      <w:tblPr>
        <w:tblStyle w:val="38"/>
        <w:tblW w:w="87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3"/>
        <w:gridCol w:w="4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1" w:hRule="atLeast"/>
          <w:jc w:val="center"/>
        </w:trPr>
        <w:tc>
          <w:tcPr>
            <w:tcW w:w="4673"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eastAsia" w:ascii="宋体" w:hAnsi="宋体" w:eastAsia="宋体" w:cs="宋体"/>
                <w:bCs/>
                <w:sz w:val="22"/>
              </w:rPr>
            </w:pPr>
            <w:r>
              <w:rPr>
                <w:rFonts w:hint="eastAsia" w:ascii="宋体" w:hAnsi="宋体" w:eastAsia="宋体" w:cs="宋体"/>
                <w:bCs/>
                <w:sz w:val="22"/>
              </w:rPr>
              <w:t>□ 七通一平工程             万平方米</w:t>
            </w:r>
          </w:p>
        </w:tc>
        <w:tc>
          <w:tcPr>
            <w:tcW w:w="4111" w:type="dxa"/>
            <w:tcBorders>
              <w:top w:val="single" w:color="auto" w:sz="4" w:space="0"/>
              <w:left w:val="single" w:color="auto" w:sz="4" w:space="0"/>
              <w:bottom w:val="single" w:color="auto" w:sz="4" w:space="0"/>
              <w:right w:val="single" w:color="auto" w:sz="4" w:space="0"/>
            </w:tcBorders>
            <w:noWrap w:val="0"/>
            <w:vAlign w:val="center"/>
          </w:tcPr>
          <w:p>
            <w:pPr>
              <w:tabs>
                <w:tab w:val="left" w:pos="600"/>
              </w:tabs>
              <w:rPr>
                <w:rFonts w:hint="eastAsia" w:ascii="宋体" w:hAnsi="宋体" w:eastAsia="宋体" w:cs="宋体"/>
                <w:bCs/>
                <w:sz w:val="22"/>
              </w:rPr>
            </w:pPr>
            <w:r>
              <w:rPr>
                <w:rFonts w:hint="eastAsia" w:ascii="宋体" w:hAnsi="宋体" w:eastAsia="宋体" w:cs="宋体"/>
                <w:bCs/>
                <w:sz w:val="22"/>
              </w:rPr>
              <w:t>□电信管道工程          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4673"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eastAsia" w:ascii="宋体" w:hAnsi="宋体" w:eastAsia="宋体" w:cs="宋体"/>
                <w:sz w:val="22"/>
              </w:rPr>
            </w:pPr>
            <w:r>
              <w:rPr>
                <w:rFonts w:hint="eastAsia" w:ascii="宋体" w:hAnsi="宋体" w:eastAsia="宋体" w:cs="宋体"/>
                <w:bCs/>
                <w:sz w:val="22"/>
              </w:rPr>
              <w:t>□挡墙护坡工程 长： 米； 宽： 米；高： 米</w:t>
            </w:r>
          </w:p>
        </w:tc>
        <w:tc>
          <w:tcPr>
            <w:tcW w:w="4111" w:type="dxa"/>
            <w:tcBorders>
              <w:top w:val="single" w:color="auto" w:sz="4" w:space="0"/>
              <w:left w:val="single" w:color="auto" w:sz="4" w:space="0"/>
              <w:bottom w:val="single" w:color="auto" w:sz="4" w:space="0"/>
              <w:right w:val="single" w:color="auto" w:sz="4" w:space="0"/>
            </w:tcBorders>
            <w:noWrap w:val="0"/>
            <w:vAlign w:val="center"/>
          </w:tcPr>
          <w:p>
            <w:pPr>
              <w:tabs>
                <w:tab w:val="left" w:pos="600"/>
              </w:tabs>
              <w:rPr>
                <w:rFonts w:hint="eastAsia" w:ascii="宋体" w:hAnsi="宋体" w:eastAsia="宋体" w:cs="宋体"/>
                <w:bCs/>
                <w:sz w:val="22"/>
              </w:rPr>
            </w:pPr>
            <w:r>
              <w:rPr>
                <w:rFonts w:hint="eastAsia" w:ascii="宋体" w:hAnsi="宋体" w:eastAsia="宋体" w:cs="宋体"/>
                <w:bCs/>
                <w:sz w:val="22"/>
              </w:rPr>
              <w:t xml:space="preserve">□电力管道工程          米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4673"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eastAsia" w:ascii="宋体" w:hAnsi="宋体" w:eastAsia="宋体" w:cs="宋体"/>
                <w:sz w:val="22"/>
              </w:rPr>
            </w:pPr>
            <w:r>
              <w:rPr>
                <w:rFonts w:hint="eastAsia" w:ascii="宋体" w:hAnsi="宋体" w:eastAsia="宋体" w:cs="宋体"/>
                <w:bCs/>
                <w:sz w:val="22"/>
              </w:rPr>
              <w:t>□ 软基处理工程            万平方米</w:t>
            </w:r>
          </w:p>
        </w:tc>
        <w:tc>
          <w:tcPr>
            <w:tcW w:w="4111" w:type="dxa"/>
            <w:tcBorders>
              <w:top w:val="single" w:color="auto" w:sz="4" w:space="0"/>
              <w:left w:val="single" w:color="auto" w:sz="4" w:space="0"/>
              <w:bottom w:val="single" w:color="auto" w:sz="4" w:space="0"/>
              <w:right w:val="single" w:color="auto" w:sz="4" w:space="0"/>
            </w:tcBorders>
            <w:noWrap w:val="0"/>
            <w:vAlign w:val="center"/>
          </w:tcPr>
          <w:p>
            <w:pPr>
              <w:tabs>
                <w:tab w:val="left" w:pos="600"/>
              </w:tabs>
              <w:rPr>
                <w:rFonts w:hint="eastAsia" w:ascii="宋体" w:hAnsi="宋体" w:eastAsia="宋体" w:cs="宋体"/>
                <w:bCs/>
                <w:sz w:val="22"/>
              </w:rPr>
            </w:pPr>
            <w:r>
              <w:rPr>
                <w:rFonts w:hint="eastAsia" w:ascii="宋体" w:hAnsi="宋体" w:eastAsia="宋体" w:cs="宋体"/>
                <w:bCs/>
                <w:sz w:val="22"/>
              </w:rPr>
              <w:t>□污水处理厂及配套工程     立方米/d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4673"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eastAsia" w:ascii="宋体" w:hAnsi="宋体" w:eastAsia="宋体" w:cs="宋体"/>
                <w:bCs/>
                <w:sz w:val="22"/>
              </w:rPr>
            </w:pPr>
            <w:r>
              <w:rPr>
                <w:rFonts w:hint="eastAsia" w:ascii="宋体" w:hAnsi="宋体" w:eastAsia="宋体" w:cs="宋体"/>
                <w:bCs/>
                <w:sz w:val="22"/>
              </w:rPr>
              <w:t>□水厂及配套工程              立方米/d</w:t>
            </w:r>
          </w:p>
        </w:tc>
        <w:tc>
          <w:tcPr>
            <w:tcW w:w="4111" w:type="dxa"/>
            <w:tcBorders>
              <w:top w:val="single" w:color="auto" w:sz="4" w:space="0"/>
              <w:left w:val="single" w:color="auto" w:sz="4" w:space="0"/>
              <w:bottom w:val="single" w:color="auto" w:sz="4" w:space="0"/>
              <w:right w:val="single" w:color="auto" w:sz="4" w:space="0"/>
            </w:tcBorders>
            <w:noWrap w:val="0"/>
            <w:vAlign w:val="center"/>
          </w:tcPr>
          <w:p>
            <w:pPr>
              <w:tabs>
                <w:tab w:val="left" w:pos="600"/>
              </w:tabs>
              <w:rPr>
                <w:rFonts w:hint="eastAsia" w:ascii="宋体" w:hAnsi="宋体" w:eastAsia="宋体" w:cs="宋体"/>
                <w:bCs/>
                <w:sz w:val="22"/>
              </w:rPr>
            </w:pPr>
            <w:r>
              <w:rPr>
                <w:rFonts w:hint="eastAsia" w:ascii="宋体" w:hAnsi="宋体" w:eastAsia="宋体" w:cs="宋体"/>
                <w:bCs/>
                <w:sz w:val="22"/>
              </w:rPr>
              <w:t>□污泥处理厂及配套工程     立方米/d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4673"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eastAsia" w:ascii="宋体" w:hAnsi="宋体" w:eastAsia="宋体" w:cs="宋体"/>
                <w:bCs/>
                <w:sz w:val="22"/>
              </w:rPr>
            </w:pPr>
            <w:r>
              <w:rPr>
                <w:rFonts w:hint="eastAsia" w:ascii="宋体" w:hAnsi="宋体" w:eastAsia="宋体" w:cs="宋体"/>
                <w:bCs/>
                <w:sz w:val="22"/>
              </w:rPr>
              <w:t>□给水管道工程            米</w:t>
            </w:r>
          </w:p>
        </w:tc>
        <w:tc>
          <w:tcPr>
            <w:tcW w:w="4111" w:type="dxa"/>
            <w:tcBorders>
              <w:top w:val="single" w:color="auto" w:sz="4" w:space="0"/>
              <w:left w:val="single" w:color="auto" w:sz="4" w:space="0"/>
              <w:bottom w:val="single" w:color="auto" w:sz="4" w:space="0"/>
              <w:right w:val="single" w:color="auto" w:sz="4" w:space="0"/>
            </w:tcBorders>
            <w:noWrap w:val="0"/>
            <w:vAlign w:val="center"/>
          </w:tcPr>
          <w:p>
            <w:pPr>
              <w:tabs>
                <w:tab w:val="left" w:pos="600"/>
              </w:tabs>
              <w:rPr>
                <w:rFonts w:hint="eastAsia" w:ascii="宋体" w:hAnsi="宋体" w:eastAsia="宋体" w:cs="宋体"/>
                <w:bCs/>
                <w:sz w:val="22"/>
              </w:rPr>
            </w:pPr>
            <w:r>
              <w:rPr>
                <w:rFonts w:hint="eastAsia" w:ascii="宋体" w:hAnsi="宋体" w:eastAsia="宋体" w:cs="宋体"/>
                <w:bCs/>
                <w:sz w:val="22"/>
              </w:rPr>
              <w:t>□泵站工程                   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4673"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eastAsia" w:ascii="宋体" w:hAnsi="宋体" w:eastAsia="宋体" w:cs="宋体"/>
                <w:bCs/>
                <w:sz w:val="22"/>
              </w:rPr>
            </w:pPr>
            <w:r>
              <w:rPr>
                <w:rFonts w:hint="eastAsia" w:ascii="宋体" w:hAnsi="宋体" w:eastAsia="宋体" w:cs="宋体"/>
                <w:bCs/>
                <w:sz w:val="22"/>
              </w:rPr>
              <w:t>□道路工程   长：  米 宽：  米</w:t>
            </w:r>
          </w:p>
        </w:tc>
        <w:tc>
          <w:tcPr>
            <w:tcW w:w="4111" w:type="dxa"/>
            <w:tcBorders>
              <w:top w:val="single" w:color="auto" w:sz="4" w:space="0"/>
              <w:left w:val="single" w:color="auto" w:sz="4" w:space="0"/>
              <w:bottom w:val="single" w:color="auto" w:sz="4" w:space="0"/>
              <w:right w:val="single" w:color="auto" w:sz="4" w:space="0"/>
            </w:tcBorders>
            <w:noWrap w:val="0"/>
            <w:vAlign w:val="center"/>
          </w:tcPr>
          <w:p>
            <w:pPr>
              <w:tabs>
                <w:tab w:val="left" w:pos="600"/>
              </w:tabs>
              <w:rPr>
                <w:rFonts w:hint="eastAsia" w:ascii="宋体" w:hAnsi="宋体" w:eastAsia="宋体" w:cs="宋体"/>
                <w:bCs/>
                <w:sz w:val="22"/>
              </w:rPr>
            </w:pPr>
            <w:r>
              <w:rPr>
                <w:rFonts w:hint="eastAsia" w:ascii="宋体" w:hAnsi="宋体" w:eastAsia="宋体" w:cs="宋体"/>
                <w:bCs/>
                <w:sz w:val="22"/>
              </w:rPr>
              <w:t>□隧道工程  长：  米 宽：  米 高：  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4673"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eastAsia" w:ascii="宋体" w:hAnsi="宋体" w:eastAsia="宋体" w:cs="宋体"/>
                <w:bCs/>
                <w:sz w:val="22"/>
              </w:rPr>
            </w:pPr>
            <w:r>
              <w:rPr>
                <w:rFonts w:hint="eastAsia" w:ascii="宋体" w:hAnsi="宋体" w:eastAsia="宋体" w:cs="宋体"/>
                <w:bCs/>
                <w:sz w:val="22"/>
              </w:rPr>
              <w:t>□桥梁工程           座</w:t>
            </w:r>
          </w:p>
        </w:tc>
        <w:tc>
          <w:tcPr>
            <w:tcW w:w="4111" w:type="dxa"/>
            <w:tcBorders>
              <w:top w:val="single" w:color="auto" w:sz="4" w:space="0"/>
              <w:left w:val="single" w:color="auto" w:sz="4" w:space="0"/>
              <w:bottom w:val="single" w:color="auto" w:sz="4" w:space="0"/>
              <w:right w:val="single" w:color="auto" w:sz="4" w:space="0"/>
            </w:tcBorders>
            <w:noWrap w:val="0"/>
            <w:vAlign w:val="center"/>
          </w:tcPr>
          <w:p>
            <w:pPr>
              <w:tabs>
                <w:tab w:val="left" w:pos="600"/>
              </w:tabs>
              <w:rPr>
                <w:rFonts w:hint="eastAsia" w:ascii="宋体" w:hAnsi="宋体" w:eastAsia="宋体" w:cs="宋体"/>
                <w:bCs/>
                <w:sz w:val="22"/>
              </w:rPr>
            </w:pPr>
            <w:r>
              <w:rPr>
                <w:rFonts w:hint="eastAsia" w:ascii="宋体" w:hAnsi="宋体" w:eastAsia="宋体" w:cs="宋体"/>
                <w:bCs/>
                <w:sz w:val="22"/>
              </w:rPr>
              <w:t>□道路改造工程  长：  米   宽：  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4673"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eastAsia" w:ascii="宋体" w:hAnsi="宋体" w:eastAsia="宋体" w:cs="宋体"/>
                <w:bCs/>
                <w:sz w:val="22"/>
              </w:rPr>
            </w:pPr>
            <w:r>
              <w:rPr>
                <w:rFonts w:hint="eastAsia" w:ascii="宋体" w:hAnsi="宋体" w:eastAsia="宋体" w:cs="宋体"/>
                <w:bCs/>
                <w:sz w:val="22"/>
              </w:rPr>
              <w:t>□排水箱涵工程  长：  米 宽：  米 高：  米</w:t>
            </w:r>
          </w:p>
        </w:tc>
        <w:tc>
          <w:tcPr>
            <w:tcW w:w="4111" w:type="dxa"/>
            <w:tcBorders>
              <w:top w:val="single" w:color="auto" w:sz="4" w:space="0"/>
              <w:left w:val="single" w:color="auto" w:sz="4" w:space="0"/>
              <w:bottom w:val="single" w:color="auto" w:sz="4" w:space="0"/>
              <w:right w:val="single" w:color="auto" w:sz="4" w:space="0"/>
            </w:tcBorders>
            <w:noWrap w:val="0"/>
            <w:vAlign w:val="center"/>
          </w:tcPr>
          <w:p>
            <w:pPr>
              <w:tabs>
                <w:tab w:val="left" w:pos="600"/>
              </w:tabs>
              <w:rPr>
                <w:rFonts w:hint="eastAsia" w:ascii="宋体" w:hAnsi="宋体" w:eastAsia="宋体" w:cs="宋体"/>
                <w:bCs/>
                <w:sz w:val="22"/>
              </w:rPr>
            </w:pPr>
            <w:r>
              <w:rPr>
                <w:rFonts w:hint="eastAsia" w:ascii="宋体" w:hAnsi="宋体" w:eastAsia="宋体" w:cs="宋体"/>
                <w:bCs/>
                <w:sz w:val="22"/>
              </w:rPr>
              <w:t xml:space="preserve">□路灯照明工程           座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4673"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eastAsia" w:ascii="宋体" w:hAnsi="宋体" w:eastAsia="宋体" w:cs="宋体"/>
                <w:bCs/>
                <w:sz w:val="22"/>
              </w:rPr>
            </w:pPr>
            <w:r>
              <w:rPr>
                <w:rFonts w:hint="eastAsia" w:ascii="宋体" w:hAnsi="宋体" w:eastAsia="宋体" w:cs="宋体"/>
                <w:bCs/>
                <w:sz w:val="22"/>
              </w:rPr>
              <w:t>□交通监控、收费综合系统工程</w:t>
            </w:r>
          </w:p>
        </w:tc>
        <w:tc>
          <w:tcPr>
            <w:tcW w:w="4111" w:type="dxa"/>
            <w:tcBorders>
              <w:top w:val="single" w:color="auto" w:sz="4" w:space="0"/>
              <w:left w:val="single" w:color="auto" w:sz="4" w:space="0"/>
              <w:bottom w:val="single" w:color="auto" w:sz="4" w:space="0"/>
              <w:right w:val="single" w:color="auto" w:sz="4" w:space="0"/>
            </w:tcBorders>
            <w:noWrap w:val="0"/>
            <w:vAlign w:val="center"/>
          </w:tcPr>
          <w:p>
            <w:pPr>
              <w:tabs>
                <w:tab w:val="left" w:pos="600"/>
              </w:tabs>
              <w:rPr>
                <w:rFonts w:hint="eastAsia" w:ascii="宋体" w:hAnsi="宋体" w:eastAsia="宋体" w:cs="宋体"/>
                <w:bCs/>
                <w:sz w:val="22"/>
              </w:rPr>
            </w:pPr>
            <w:r>
              <w:rPr>
                <w:rFonts w:hint="eastAsia" w:ascii="宋体" w:hAnsi="宋体" w:eastAsia="宋体" w:cs="宋体"/>
                <w:bCs/>
                <w:sz w:val="22"/>
              </w:rPr>
              <w:t>□绿化工程          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4673"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eastAsia" w:ascii="宋体" w:hAnsi="宋体" w:eastAsia="宋体" w:cs="宋体"/>
                <w:bCs/>
                <w:sz w:val="22"/>
              </w:rPr>
            </w:pPr>
            <w:r>
              <w:rPr>
                <w:rFonts w:hint="eastAsia" w:ascii="宋体" w:hAnsi="宋体" w:eastAsia="宋体" w:cs="宋体"/>
                <w:bCs/>
                <w:sz w:val="22"/>
              </w:rPr>
              <w:t>□交通安全设施工程          米</w:t>
            </w:r>
          </w:p>
        </w:tc>
        <w:tc>
          <w:tcPr>
            <w:tcW w:w="4111" w:type="dxa"/>
            <w:tcBorders>
              <w:top w:val="single" w:color="auto" w:sz="4" w:space="0"/>
              <w:left w:val="single" w:color="auto" w:sz="4" w:space="0"/>
              <w:bottom w:val="single" w:color="auto" w:sz="4" w:space="0"/>
              <w:right w:val="single" w:color="auto" w:sz="4" w:space="0"/>
            </w:tcBorders>
            <w:noWrap w:val="0"/>
            <w:vAlign w:val="center"/>
          </w:tcPr>
          <w:p>
            <w:pPr>
              <w:tabs>
                <w:tab w:val="left" w:pos="600"/>
              </w:tabs>
              <w:rPr>
                <w:rFonts w:hint="eastAsia" w:ascii="宋体" w:hAnsi="宋体" w:eastAsia="宋体" w:cs="宋体"/>
                <w:bCs/>
                <w:sz w:val="22"/>
              </w:rPr>
            </w:pPr>
            <w:r>
              <w:rPr>
                <w:rFonts w:hint="eastAsia" w:ascii="宋体" w:hAnsi="宋体" w:eastAsia="宋体" w:cs="宋体"/>
                <w:bCs/>
                <w:sz w:val="22"/>
              </w:rPr>
              <w:t>□燃气工程          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8784" w:type="dxa"/>
            <w:gridSpan w:val="2"/>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bCs/>
                <w:sz w:val="22"/>
              </w:rPr>
            </w:pPr>
            <w:r>
              <w:rPr>
                <w:rFonts w:hint="eastAsia" w:ascii="宋体" w:hAnsi="宋体" w:eastAsia="宋体" w:cs="宋体"/>
                <w:bCs/>
                <w:sz w:val="22"/>
              </w:rPr>
              <w:t>□其它:</w:t>
            </w:r>
          </w:p>
        </w:tc>
      </w:tr>
    </w:tbl>
    <w:p>
      <w:pPr>
        <w:spacing w:line="360" w:lineRule="auto"/>
        <w:rPr>
          <w:rFonts w:hint="eastAsia" w:ascii="宋体" w:hAnsi="宋体" w:eastAsia="宋体" w:cs="宋体"/>
          <w:b/>
          <w:sz w:val="24"/>
        </w:rPr>
      </w:pPr>
      <w:r>
        <w:rPr>
          <w:rFonts w:hint="eastAsia" w:ascii="宋体" w:hAnsi="宋体" w:eastAsia="宋体" w:cs="宋体"/>
          <w:b/>
          <w:sz w:val="24"/>
        </w:rPr>
        <w:t>2.房屋建筑及配套专业工程：</w:t>
      </w:r>
      <w:r>
        <w:rPr>
          <w:rFonts w:hint="eastAsia" w:ascii="宋体" w:hAnsi="宋体" w:eastAsia="宋体" w:cs="宋体"/>
          <w:szCs w:val="21"/>
        </w:rPr>
        <w:t>(在□内打√，并填写相应的工程量)</w:t>
      </w:r>
    </w:p>
    <w:tbl>
      <w:tblPr>
        <w:tblStyle w:val="38"/>
        <w:tblW w:w="884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2"/>
        <w:gridCol w:w="10"/>
        <w:gridCol w:w="2532"/>
        <w:gridCol w:w="3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9" w:hRule="atLeast"/>
          <w:jc w:val="center"/>
        </w:trPr>
        <w:tc>
          <w:tcPr>
            <w:tcW w:w="8843" w:type="dxa"/>
            <w:gridSpan w:val="4"/>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eastAsia" w:ascii="宋体" w:hAnsi="宋体" w:eastAsia="宋体" w:cs="宋体"/>
                <w:bCs/>
                <w:sz w:val="22"/>
              </w:rPr>
            </w:pPr>
            <w:r>
              <w:rPr>
                <w:rFonts w:hint="eastAsia" w:ascii="宋体" w:hAnsi="宋体" w:eastAsia="宋体" w:cs="宋体"/>
                <w:bCs/>
                <w:sz w:val="22"/>
              </w:rPr>
              <w:t>□地基与基础工程  （□基础  □ 基坑支护  □边坡  □土石方  □其它</w:t>
            </w:r>
            <w:r>
              <w:rPr>
                <w:rFonts w:hint="eastAsia" w:ascii="宋体" w:hAnsi="宋体" w:eastAsia="宋体" w:cs="宋体"/>
                <w:sz w:val="22"/>
                <w:u w:val="single"/>
              </w:rPr>
              <w:t xml:space="preserve">         </w:t>
            </w:r>
            <w:r>
              <w:rPr>
                <w:rFonts w:hint="eastAsia" w:ascii="宋体" w:hAnsi="宋体" w:eastAsia="宋体" w:cs="宋体"/>
                <w:bCs/>
                <w:sz w:val="22"/>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4" w:hRule="atLeast"/>
          <w:jc w:val="center"/>
        </w:trPr>
        <w:tc>
          <w:tcPr>
            <w:tcW w:w="8843" w:type="dxa"/>
            <w:gridSpan w:val="4"/>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eastAsia" w:ascii="宋体" w:hAnsi="宋体" w:eastAsia="宋体" w:cs="宋体"/>
                <w:bCs/>
                <w:sz w:val="22"/>
              </w:rPr>
            </w:pPr>
            <w:r>
              <w:rPr>
                <w:rFonts w:hint="eastAsia" w:ascii="宋体" w:hAnsi="宋体" w:eastAsia="宋体" w:cs="宋体"/>
                <w:bCs/>
                <w:sz w:val="22"/>
              </w:rPr>
              <w:t>□主体结构工程    （□钢筋混凝土 □钢结构 □</w:t>
            </w:r>
            <w:r>
              <w:rPr>
                <w:rFonts w:hint="eastAsia" w:ascii="宋体" w:hAnsi="宋体" w:eastAsia="宋体" w:cs="宋体"/>
                <w:bCs/>
                <w:spacing w:val="-20"/>
                <w:sz w:val="22"/>
              </w:rPr>
              <w:t xml:space="preserve">网架  </w:t>
            </w:r>
            <w:r>
              <w:rPr>
                <w:rFonts w:hint="eastAsia" w:ascii="宋体" w:hAnsi="宋体" w:eastAsia="宋体" w:cs="宋体"/>
                <w:bCs/>
                <w:sz w:val="22"/>
              </w:rPr>
              <w:t xml:space="preserve">□索膜结构 □其它 </w:t>
            </w:r>
            <w:r>
              <w:rPr>
                <w:rFonts w:hint="eastAsia" w:ascii="宋体" w:hAnsi="宋体" w:eastAsia="宋体" w:cs="宋体"/>
                <w:sz w:val="22"/>
                <w:u w:val="single"/>
              </w:rPr>
              <w:t xml:space="preserve">     </w:t>
            </w:r>
            <w:r>
              <w:rPr>
                <w:rFonts w:hint="eastAsia" w:ascii="宋体" w:hAnsi="宋体" w:eastAsia="宋体" w:cs="宋体"/>
                <w:bCs/>
                <w:sz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9" w:hRule="atLeast"/>
          <w:jc w:val="center"/>
        </w:trPr>
        <w:tc>
          <w:tcPr>
            <w:tcW w:w="8843" w:type="dxa"/>
            <w:gridSpan w:val="4"/>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eastAsia" w:ascii="宋体" w:hAnsi="宋体" w:eastAsia="宋体" w:cs="宋体"/>
                <w:bCs/>
                <w:sz w:val="22"/>
              </w:rPr>
            </w:pPr>
            <w:r>
              <w:rPr>
                <w:rFonts w:hint="eastAsia" w:ascii="宋体" w:hAnsi="宋体" w:eastAsia="宋体" w:cs="宋体"/>
                <w:bCs/>
                <w:sz w:val="22"/>
              </w:rPr>
              <w:t>□装饰装修工程     （□金属门窗   □幕墙：   平方米  □其它</w:t>
            </w:r>
            <w:r>
              <w:rPr>
                <w:rFonts w:hint="eastAsia" w:ascii="宋体" w:hAnsi="宋体" w:eastAsia="宋体" w:cs="宋体"/>
                <w:sz w:val="22"/>
                <w:u w:val="single"/>
              </w:rPr>
              <w:t xml:space="preserve">         </w:t>
            </w:r>
            <w:r>
              <w:rPr>
                <w:rFonts w:hint="eastAsia" w:ascii="宋体" w:hAnsi="宋体" w:eastAsia="宋体" w:cs="宋体"/>
                <w:bCs/>
                <w:sz w:val="22"/>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9" w:hRule="atLeast"/>
          <w:jc w:val="center"/>
        </w:trPr>
        <w:tc>
          <w:tcPr>
            <w:tcW w:w="8843" w:type="dxa"/>
            <w:gridSpan w:val="4"/>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eastAsia" w:ascii="宋体" w:hAnsi="宋体" w:eastAsia="宋体" w:cs="宋体"/>
                <w:bCs/>
                <w:sz w:val="22"/>
              </w:rPr>
            </w:pPr>
            <w:r>
              <w:rPr>
                <w:rFonts w:hint="eastAsia" w:ascii="宋体" w:hAnsi="宋体" w:eastAsia="宋体" w:cs="宋体"/>
                <w:bCs/>
                <w:sz w:val="22"/>
              </w:rPr>
              <w:t>□通风与空调       (□通风  □空调       □其它</w:t>
            </w:r>
            <w:r>
              <w:rPr>
                <w:rFonts w:hint="eastAsia" w:ascii="宋体" w:hAnsi="宋体" w:eastAsia="宋体" w:cs="宋体"/>
                <w:sz w:val="22"/>
                <w:u w:val="single"/>
              </w:rPr>
              <w:t xml:space="preserve">         </w:t>
            </w:r>
            <w:r>
              <w:rPr>
                <w:rFonts w:hint="eastAsia" w:ascii="宋体" w:hAnsi="宋体" w:eastAsia="宋体" w:cs="宋体"/>
                <w:bCs/>
                <w:sz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4" w:hRule="atLeast"/>
          <w:jc w:val="center"/>
        </w:trPr>
        <w:tc>
          <w:tcPr>
            <w:tcW w:w="8843" w:type="dxa"/>
            <w:gridSpan w:val="4"/>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eastAsia" w:ascii="宋体" w:hAnsi="宋体" w:eastAsia="宋体" w:cs="宋体"/>
                <w:bCs/>
                <w:sz w:val="22"/>
              </w:rPr>
            </w:pPr>
            <w:r>
              <w:rPr>
                <w:rFonts w:hint="eastAsia" w:ascii="宋体" w:hAnsi="宋体" w:eastAsia="宋体" w:cs="宋体"/>
                <w:bCs/>
                <w:sz w:val="22"/>
              </w:rPr>
              <w:t>□</w:t>
            </w:r>
            <w:r>
              <w:rPr>
                <w:rFonts w:hint="eastAsia" w:ascii="宋体" w:hAnsi="宋体" w:eastAsia="宋体" w:cs="宋体"/>
                <w:bCs/>
                <w:spacing w:val="-20"/>
                <w:sz w:val="22"/>
              </w:rPr>
              <w:t xml:space="preserve">建筑给水排水及供暖    </w:t>
            </w:r>
            <w:r>
              <w:rPr>
                <w:rFonts w:hint="eastAsia" w:ascii="宋体" w:hAnsi="宋体" w:eastAsia="宋体" w:cs="宋体"/>
                <w:bCs/>
                <w:sz w:val="22"/>
              </w:rPr>
              <w:t>（□室内给、排水系统 □ 室外给、排水系统   □其它</w:t>
            </w:r>
            <w:r>
              <w:rPr>
                <w:rFonts w:hint="eastAsia" w:ascii="宋体" w:hAnsi="宋体" w:eastAsia="宋体" w:cs="宋体"/>
                <w:sz w:val="22"/>
                <w:u w:val="single"/>
              </w:rPr>
              <w:t xml:space="preserve">       </w:t>
            </w:r>
            <w:r>
              <w:rPr>
                <w:rFonts w:hint="eastAsia" w:ascii="宋体" w:hAnsi="宋体" w:eastAsia="宋体" w:cs="宋体"/>
                <w:bCs/>
                <w:sz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jc w:val="center"/>
        </w:trPr>
        <w:tc>
          <w:tcPr>
            <w:tcW w:w="8843" w:type="dxa"/>
            <w:gridSpan w:val="4"/>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2"/>
              </w:rPr>
            </w:pPr>
            <w:r>
              <w:rPr>
                <w:rFonts w:hint="eastAsia" w:ascii="宋体" w:hAnsi="宋体" w:eastAsia="宋体" w:cs="宋体"/>
                <w:bCs/>
                <w:sz w:val="22"/>
              </w:rPr>
              <w:t>□建筑电气工程     (□室外电气    □电气照明     □其它</w:t>
            </w:r>
            <w:r>
              <w:rPr>
                <w:rFonts w:hint="eastAsia" w:ascii="宋体" w:hAnsi="宋体" w:eastAsia="宋体" w:cs="宋体"/>
                <w:sz w:val="22"/>
                <w:u w:val="single"/>
              </w:rPr>
              <w:t xml:space="preserve">         </w:t>
            </w:r>
            <w:r>
              <w:rPr>
                <w:rFonts w:hint="eastAsia" w:ascii="宋体" w:hAnsi="宋体" w:eastAsia="宋体" w:cs="宋体"/>
                <w:bCs/>
                <w:sz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4" w:hRule="atLeast"/>
          <w:jc w:val="center"/>
        </w:trPr>
        <w:tc>
          <w:tcPr>
            <w:tcW w:w="2552"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eastAsia" w:ascii="宋体" w:hAnsi="宋体" w:eastAsia="宋体" w:cs="宋体"/>
                <w:bCs/>
                <w:sz w:val="22"/>
              </w:rPr>
            </w:pPr>
            <w:r>
              <w:rPr>
                <w:rFonts w:hint="eastAsia" w:ascii="宋体" w:hAnsi="宋体" w:eastAsia="宋体" w:cs="宋体"/>
                <w:bCs/>
                <w:sz w:val="22"/>
              </w:rPr>
              <w:t>□智能建筑</w:t>
            </w:r>
          </w:p>
        </w:tc>
        <w:tc>
          <w:tcPr>
            <w:tcW w:w="6291" w:type="dxa"/>
            <w:gridSpan w:val="2"/>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bCs/>
                <w:sz w:val="22"/>
              </w:rPr>
            </w:pPr>
            <w:r>
              <w:rPr>
                <w:rFonts w:hint="eastAsia" w:ascii="宋体" w:hAnsi="宋体" w:eastAsia="宋体" w:cs="宋体"/>
                <w:bCs/>
                <w:sz w:val="22"/>
              </w:rPr>
              <w:t>(□综合布线系统  □信息网络系统     □其它</w:t>
            </w:r>
            <w:r>
              <w:rPr>
                <w:rFonts w:hint="eastAsia" w:ascii="宋体" w:hAnsi="宋体" w:eastAsia="宋体" w:cs="宋体"/>
                <w:sz w:val="22"/>
                <w:u w:val="single"/>
              </w:rPr>
              <w:t xml:space="preserve">         </w:t>
            </w:r>
            <w:r>
              <w:rPr>
                <w:rFonts w:hint="eastAsia" w:ascii="宋体" w:hAnsi="宋体" w:eastAsia="宋体" w:cs="宋体"/>
                <w:bCs/>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4" w:hRule="atLeast"/>
          <w:jc w:val="center"/>
        </w:trPr>
        <w:tc>
          <w:tcPr>
            <w:tcW w:w="254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bCs/>
                <w:sz w:val="22"/>
              </w:rPr>
            </w:pPr>
            <w:r>
              <w:rPr>
                <w:rFonts w:hint="eastAsia" w:ascii="宋体" w:hAnsi="宋体" w:eastAsia="宋体" w:cs="宋体"/>
                <w:bCs/>
                <w:sz w:val="22"/>
              </w:rPr>
              <w:t>□屋面及防水工程</w:t>
            </w:r>
          </w:p>
        </w:tc>
        <w:tc>
          <w:tcPr>
            <w:tcW w:w="2542" w:type="dxa"/>
            <w:gridSpan w:val="2"/>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2"/>
              </w:rPr>
            </w:pPr>
            <w:r>
              <w:rPr>
                <w:rFonts w:hint="eastAsia" w:ascii="宋体" w:hAnsi="宋体" w:eastAsia="宋体" w:cs="宋体"/>
                <w:bCs/>
                <w:sz w:val="22"/>
              </w:rPr>
              <w:t xml:space="preserve">□建筑节能    </w:t>
            </w:r>
          </w:p>
        </w:tc>
        <w:tc>
          <w:tcPr>
            <w:tcW w:w="3759"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bCs/>
                <w:sz w:val="22"/>
              </w:rPr>
            </w:pPr>
            <w:r>
              <w:rPr>
                <w:rFonts w:hint="eastAsia" w:ascii="宋体" w:hAnsi="宋体" w:eastAsia="宋体" w:cs="宋体"/>
                <w:bCs/>
                <w:sz w:val="22"/>
              </w:rPr>
              <w:t>□消防工程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51" w:hRule="atLeast"/>
          <w:jc w:val="center"/>
        </w:trPr>
        <w:tc>
          <w:tcPr>
            <w:tcW w:w="8843" w:type="dxa"/>
            <w:gridSpan w:val="4"/>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bCs/>
                <w:sz w:val="22"/>
              </w:rPr>
            </w:pPr>
            <w:r>
              <w:rPr>
                <w:rFonts w:hint="eastAsia" w:ascii="宋体" w:hAnsi="宋体" w:eastAsia="宋体" w:cs="宋体"/>
                <w:bCs/>
                <w:sz w:val="22"/>
              </w:rPr>
              <w:t>□ 室外工程   （ □室外设施</w:t>
            </w:r>
            <w:r>
              <w:rPr>
                <w:rFonts w:hint="eastAsia" w:ascii="宋体" w:hAnsi="宋体" w:eastAsia="宋体" w:cs="宋体"/>
                <w:sz w:val="22"/>
                <w:u w:val="single"/>
              </w:rPr>
              <w:t xml:space="preserve">                       </w:t>
            </w:r>
            <w:r>
              <w:rPr>
                <w:rFonts w:hint="eastAsia" w:ascii="宋体" w:hAnsi="宋体" w:eastAsia="宋体" w:cs="宋体"/>
                <w:bCs/>
                <w:sz w:val="22"/>
              </w:rPr>
              <w:t xml:space="preserve">  □附属建筑</w:t>
            </w:r>
            <w:r>
              <w:rPr>
                <w:rFonts w:hint="eastAsia" w:ascii="宋体" w:hAnsi="宋体" w:eastAsia="宋体" w:cs="宋体"/>
                <w:sz w:val="22"/>
                <w:u w:val="single"/>
              </w:rPr>
              <w:t xml:space="preserve">                   </w:t>
            </w:r>
          </w:p>
          <w:p>
            <w:pPr>
              <w:rPr>
                <w:rFonts w:hint="eastAsia" w:ascii="宋体" w:hAnsi="宋体" w:eastAsia="宋体" w:cs="宋体"/>
                <w:bCs/>
                <w:sz w:val="22"/>
              </w:rPr>
            </w:pPr>
            <w:r>
              <w:rPr>
                <w:rFonts w:hint="eastAsia" w:ascii="宋体" w:hAnsi="宋体" w:eastAsia="宋体" w:cs="宋体"/>
                <w:bCs/>
                <w:sz w:val="22"/>
              </w:rPr>
              <w:t xml:space="preserve">                 □室外环境</w:t>
            </w:r>
            <w:r>
              <w:rPr>
                <w:rFonts w:hint="eastAsia" w:ascii="宋体" w:hAnsi="宋体" w:eastAsia="宋体" w:cs="宋体"/>
                <w:sz w:val="22"/>
                <w:u w:val="single"/>
              </w:rPr>
              <w:t xml:space="preserve">                                       ）</w:t>
            </w:r>
            <w:r>
              <w:rPr>
                <w:rFonts w:hint="eastAsia" w:ascii="宋体" w:hAnsi="宋体" w:eastAsia="宋体" w:cs="宋体"/>
                <w:bCs/>
                <w:sz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4" w:hRule="atLeast"/>
          <w:jc w:val="center"/>
        </w:trPr>
        <w:tc>
          <w:tcPr>
            <w:tcW w:w="8843" w:type="dxa"/>
            <w:gridSpan w:val="4"/>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bCs/>
                <w:sz w:val="22"/>
              </w:rPr>
            </w:pPr>
            <w:r>
              <w:rPr>
                <w:rFonts w:hint="eastAsia" w:ascii="宋体" w:hAnsi="宋体" w:eastAsia="宋体" w:cs="宋体"/>
                <w:bCs/>
                <w:sz w:val="22"/>
              </w:rPr>
              <w:t>□燃气工程     （户数：</w:t>
            </w:r>
            <w:r>
              <w:rPr>
                <w:rFonts w:hint="eastAsia" w:ascii="宋体" w:hAnsi="宋体" w:eastAsia="宋体" w:cs="宋体"/>
                <w:sz w:val="22"/>
                <w:u w:val="single"/>
              </w:rPr>
              <w:t xml:space="preserve">       </w:t>
            </w:r>
            <w:r>
              <w:rPr>
                <w:rFonts w:hint="eastAsia" w:ascii="宋体" w:hAnsi="宋体" w:eastAsia="宋体" w:cs="宋体"/>
                <w:sz w:val="22"/>
              </w:rPr>
              <w:t>户；</w:t>
            </w:r>
            <w:r>
              <w:rPr>
                <w:rFonts w:hint="eastAsia" w:ascii="宋体" w:hAnsi="宋体" w:eastAsia="宋体" w:cs="宋体"/>
                <w:bCs/>
                <w:sz w:val="22"/>
              </w:rPr>
              <w:t xml:space="preserve"> 庭院管：</w:t>
            </w:r>
            <w:r>
              <w:rPr>
                <w:rFonts w:hint="eastAsia" w:ascii="宋体" w:hAnsi="宋体" w:eastAsia="宋体" w:cs="宋体"/>
                <w:sz w:val="22"/>
                <w:u w:val="single"/>
              </w:rPr>
              <w:t xml:space="preserve">         </w:t>
            </w:r>
            <w:r>
              <w:rPr>
                <w:rFonts w:hint="eastAsia" w:ascii="宋体" w:hAnsi="宋体" w:eastAsia="宋体" w:cs="宋体"/>
                <w:bCs/>
                <w:sz w:val="22"/>
              </w:rPr>
              <w:t xml:space="preserve"> 米）</w:t>
            </w:r>
          </w:p>
        </w:tc>
      </w:tr>
    </w:tbl>
    <w:p>
      <w:pPr>
        <w:spacing w:line="360" w:lineRule="auto"/>
        <w:rPr>
          <w:rFonts w:hint="eastAsia" w:ascii="宋体" w:hAnsi="宋体" w:eastAsia="宋体" w:cs="宋体"/>
          <w:b/>
          <w:sz w:val="24"/>
        </w:rPr>
      </w:pPr>
      <w:r>
        <w:rPr>
          <w:rFonts w:hint="eastAsia" w:ascii="宋体" w:hAnsi="宋体" w:eastAsia="宋体" w:cs="宋体"/>
          <w:b/>
          <w:sz w:val="24"/>
        </w:rPr>
        <w:t>3.二次装饰装修工程：</w:t>
      </w:r>
      <w:r>
        <w:rPr>
          <w:rFonts w:hint="eastAsia" w:ascii="宋体" w:hAnsi="宋体" w:eastAsia="宋体" w:cs="宋体"/>
          <w:szCs w:val="21"/>
        </w:rPr>
        <w:t>(在□内打√，并填写相应的工程量)</w:t>
      </w:r>
    </w:p>
    <w:tbl>
      <w:tblPr>
        <w:tblStyle w:val="38"/>
        <w:tblW w:w="88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5"/>
        <w:gridCol w:w="1843"/>
        <w:gridCol w:w="2126"/>
        <w:gridCol w:w="1701"/>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jc w:val="center"/>
        </w:trPr>
        <w:tc>
          <w:tcPr>
            <w:tcW w:w="1665"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bCs/>
                <w:sz w:val="22"/>
              </w:rPr>
            </w:pPr>
            <w:r>
              <w:rPr>
                <w:rFonts w:hint="eastAsia" w:ascii="宋体" w:hAnsi="宋体" w:eastAsia="宋体" w:cs="宋体"/>
                <w:bCs/>
                <w:sz w:val="22"/>
              </w:rPr>
              <w:t>□消防工程</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bCs/>
                <w:sz w:val="22"/>
              </w:rPr>
            </w:pPr>
            <w:r>
              <w:rPr>
                <w:rFonts w:hint="eastAsia" w:ascii="宋体" w:hAnsi="宋体" w:eastAsia="宋体" w:cs="宋体"/>
                <w:bCs/>
                <w:sz w:val="22"/>
              </w:rPr>
              <w:t>□门窗</w:t>
            </w:r>
          </w:p>
        </w:tc>
        <w:tc>
          <w:tcPr>
            <w:tcW w:w="2126"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bCs/>
                <w:sz w:val="22"/>
              </w:rPr>
            </w:pPr>
            <w:r>
              <w:rPr>
                <w:rFonts w:hint="eastAsia" w:ascii="宋体" w:hAnsi="宋体" w:eastAsia="宋体" w:cs="宋体"/>
                <w:bCs/>
                <w:sz w:val="22"/>
              </w:rPr>
              <w:t>□防水工程</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bCs/>
                <w:sz w:val="22"/>
              </w:rPr>
            </w:pPr>
            <w:r>
              <w:rPr>
                <w:rFonts w:hint="eastAsia" w:ascii="宋体" w:hAnsi="宋体" w:eastAsia="宋体" w:cs="宋体"/>
                <w:bCs/>
                <w:sz w:val="22"/>
              </w:rPr>
              <w:t xml:space="preserve">□电气照明 </w:t>
            </w:r>
          </w:p>
        </w:tc>
        <w:tc>
          <w:tcPr>
            <w:tcW w:w="1559"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bCs/>
                <w:sz w:val="22"/>
              </w:rPr>
            </w:pPr>
            <w:r>
              <w:rPr>
                <w:rFonts w:hint="eastAsia" w:ascii="宋体" w:hAnsi="宋体" w:eastAsia="宋体" w:cs="宋体"/>
                <w:bCs/>
                <w:sz w:val="22"/>
              </w:rPr>
              <w:t>□</w:t>
            </w:r>
            <w:r>
              <w:rPr>
                <w:rFonts w:hint="eastAsia" w:ascii="宋体" w:hAnsi="宋体" w:eastAsia="宋体" w:cs="宋体"/>
                <w:sz w:val="22"/>
              </w:rPr>
              <w:t>建筑节能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jc w:val="center"/>
        </w:trPr>
        <w:tc>
          <w:tcPr>
            <w:tcW w:w="8894" w:type="dxa"/>
            <w:gridSpan w:val="5"/>
            <w:tcBorders>
              <w:top w:val="single" w:color="auto" w:sz="4" w:space="0"/>
              <w:left w:val="single" w:color="auto" w:sz="4" w:space="0"/>
              <w:bottom w:val="single" w:color="auto" w:sz="4" w:space="0"/>
              <w:right w:val="single" w:color="auto" w:sz="4" w:space="0"/>
            </w:tcBorders>
            <w:noWrap w:val="0"/>
            <w:vAlign w:val="center"/>
          </w:tcPr>
          <w:p>
            <w:pPr>
              <w:tabs>
                <w:tab w:val="left" w:pos="600"/>
              </w:tabs>
              <w:rPr>
                <w:rFonts w:hint="eastAsia" w:ascii="宋体" w:hAnsi="宋体" w:eastAsia="宋体" w:cs="宋体"/>
                <w:sz w:val="22"/>
              </w:rPr>
            </w:pPr>
            <w:r>
              <w:rPr>
                <w:rFonts w:hint="eastAsia" w:ascii="宋体" w:hAnsi="宋体" w:eastAsia="宋体" w:cs="宋体"/>
                <w:bCs/>
                <w:sz w:val="22"/>
              </w:rPr>
              <w:t>□通风与空调 (□通风  □空调       □其它</w:t>
            </w:r>
            <w:r>
              <w:rPr>
                <w:rFonts w:hint="eastAsia" w:ascii="宋体" w:hAnsi="宋体" w:eastAsia="宋体" w:cs="宋体"/>
                <w:sz w:val="22"/>
                <w:u w:val="single"/>
              </w:rPr>
              <w:t xml:space="preserve">         </w:t>
            </w:r>
            <w:r>
              <w:rPr>
                <w:rFonts w:hint="eastAsia" w:ascii="宋体" w:hAnsi="宋体" w:eastAsia="宋体" w:cs="宋体"/>
                <w:bCs/>
                <w:sz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jc w:val="center"/>
        </w:trPr>
        <w:tc>
          <w:tcPr>
            <w:tcW w:w="8894" w:type="dxa"/>
            <w:gridSpan w:val="5"/>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2"/>
              </w:rPr>
            </w:pPr>
            <w:r>
              <w:rPr>
                <w:rFonts w:hint="eastAsia" w:ascii="宋体" w:hAnsi="宋体" w:eastAsia="宋体" w:cs="宋体"/>
                <w:bCs/>
                <w:sz w:val="22"/>
              </w:rPr>
              <w:t>□建筑给排水及供暖（□室内给、排水系统   □室外给、排水系统   □其它</w:t>
            </w:r>
            <w:r>
              <w:rPr>
                <w:rFonts w:hint="eastAsia" w:ascii="宋体" w:hAnsi="宋体" w:eastAsia="宋体" w:cs="宋体"/>
                <w:sz w:val="22"/>
                <w:u w:val="single"/>
              </w:rPr>
              <w:t xml:space="preserve">         </w:t>
            </w:r>
            <w:r>
              <w:rPr>
                <w:rFonts w:hint="eastAsia" w:ascii="宋体" w:hAnsi="宋体" w:eastAsia="宋体" w:cs="宋体"/>
                <w:bCs/>
                <w:sz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jc w:val="center"/>
        </w:trPr>
        <w:tc>
          <w:tcPr>
            <w:tcW w:w="8894" w:type="dxa"/>
            <w:gridSpan w:val="5"/>
            <w:tcBorders>
              <w:top w:val="single" w:color="auto" w:sz="4" w:space="0"/>
              <w:left w:val="single" w:color="auto" w:sz="4" w:space="0"/>
              <w:bottom w:val="single" w:color="auto" w:sz="4" w:space="0"/>
              <w:right w:val="single" w:color="auto" w:sz="4" w:space="0"/>
            </w:tcBorders>
            <w:noWrap w:val="0"/>
            <w:vAlign w:val="center"/>
          </w:tcPr>
          <w:p>
            <w:pPr>
              <w:tabs>
                <w:tab w:val="left" w:pos="600"/>
              </w:tabs>
              <w:rPr>
                <w:rFonts w:hint="eastAsia" w:ascii="宋体" w:hAnsi="宋体" w:eastAsia="宋体" w:cs="宋体"/>
                <w:bCs/>
                <w:sz w:val="22"/>
              </w:rPr>
            </w:pPr>
            <w:r>
              <w:rPr>
                <w:rFonts w:hint="eastAsia" w:ascii="宋体" w:hAnsi="宋体" w:eastAsia="宋体" w:cs="宋体"/>
                <w:bCs/>
                <w:sz w:val="22"/>
              </w:rPr>
              <w:t>□智能建筑  (□综合布线系统    □信息网络系统    □其它</w:t>
            </w:r>
            <w:r>
              <w:rPr>
                <w:rFonts w:hint="eastAsia" w:ascii="宋体" w:hAnsi="宋体" w:eastAsia="宋体" w:cs="宋体"/>
                <w:sz w:val="22"/>
                <w:u w:val="single"/>
              </w:rPr>
              <w:t xml:space="preserve">         </w:t>
            </w:r>
            <w:r>
              <w:rPr>
                <w:rFonts w:hint="eastAsia" w:ascii="宋体" w:hAnsi="宋体" w:eastAsia="宋体" w:cs="宋体"/>
                <w:bCs/>
                <w:sz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jc w:val="center"/>
        </w:trPr>
        <w:tc>
          <w:tcPr>
            <w:tcW w:w="8894" w:type="dxa"/>
            <w:gridSpan w:val="5"/>
            <w:tcBorders>
              <w:top w:val="single" w:color="auto" w:sz="4" w:space="0"/>
              <w:left w:val="single" w:color="auto" w:sz="4" w:space="0"/>
              <w:bottom w:val="single" w:color="auto" w:sz="4" w:space="0"/>
              <w:right w:val="single" w:color="auto" w:sz="4" w:space="0"/>
            </w:tcBorders>
            <w:noWrap w:val="0"/>
            <w:vAlign w:val="center"/>
          </w:tcPr>
          <w:p>
            <w:pPr>
              <w:tabs>
                <w:tab w:val="left" w:pos="600"/>
              </w:tabs>
              <w:rPr>
                <w:rFonts w:hint="eastAsia" w:ascii="宋体" w:hAnsi="宋体" w:eastAsia="宋体" w:cs="宋体"/>
                <w:bCs/>
                <w:sz w:val="22"/>
              </w:rPr>
            </w:pPr>
            <w:r>
              <w:rPr>
                <w:rFonts w:hint="eastAsia" w:ascii="宋体" w:hAnsi="宋体" w:eastAsia="宋体" w:cs="宋体"/>
                <w:bCs/>
                <w:sz w:val="22"/>
              </w:rPr>
              <w:t>□装饰装修  (□抹灰   □涂饰   □饰面板（砖）   □吊顶   □其它</w:t>
            </w:r>
            <w:r>
              <w:rPr>
                <w:rFonts w:hint="eastAsia" w:ascii="宋体" w:hAnsi="宋体" w:eastAsia="宋体" w:cs="宋体"/>
                <w:sz w:val="22"/>
                <w:u w:val="single"/>
              </w:rPr>
              <w:t xml:space="preserve">         </w:t>
            </w:r>
            <w:r>
              <w:rPr>
                <w:rFonts w:hint="eastAsia" w:ascii="宋体" w:hAnsi="宋体" w:eastAsia="宋体" w:cs="宋体"/>
                <w:bCs/>
                <w:sz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jc w:val="center"/>
        </w:trPr>
        <w:tc>
          <w:tcPr>
            <w:tcW w:w="8894" w:type="dxa"/>
            <w:gridSpan w:val="5"/>
            <w:tcBorders>
              <w:top w:val="single" w:color="auto" w:sz="4" w:space="0"/>
              <w:left w:val="single" w:color="auto" w:sz="4" w:space="0"/>
              <w:bottom w:val="single" w:color="auto" w:sz="4" w:space="0"/>
              <w:right w:val="single" w:color="auto" w:sz="4" w:space="0"/>
            </w:tcBorders>
            <w:noWrap w:val="0"/>
            <w:vAlign w:val="center"/>
          </w:tcPr>
          <w:p>
            <w:pPr>
              <w:tabs>
                <w:tab w:val="left" w:pos="600"/>
              </w:tabs>
              <w:rPr>
                <w:rFonts w:hint="eastAsia" w:ascii="宋体" w:hAnsi="宋体" w:eastAsia="宋体" w:cs="宋体"/>
                <w:bCs/>
                <w:sz w:val="22"/>
              </w:rPr>
            </w:pPr>
            <w:r>
              <w:rPr>
                <w:rFonts w:hint="eastAsia" w:ascii="宋体" w:hAnsi="宋体" w:eastAsia="宋体" w:cs="宋体"/>
                <w:bCs/>
                <w:sz w:val="22"/>
              </w:rPr>
              <w:t>□其它：</w:t>
            </w:r>
          </w:p>
        </w:tc>
      </w:tr>
    </w:tbl>
    <w:p>
      <w:pPr>
        <w:spacing w:line="360" w:lineRule="auto"/>
        <w:rPr>
          <w:rFonts w:hint="eastAsia" w:ascii="宋体" w:hAnsi="宋体" w:eastAsia="宋体" w:cs="宋体"/>
          <w:b/>
          <w:sz w:val="24"/>
        </w:rPr>
      </w:pPr>
      <w:bookmarkStart w:id="45" w:name="_Toc302635680"/>
      <w:r>
        <w:rPr>
          <w:rFonts w:hint="eastAsia" w:ascii="宋体" w:hAnsi="宋体" w:eastAsia="宋体" w:cs="宋体"/>
          <w:b/>
          <w:sz w:val="24"/>
        </w:rPr>
        <w:t>4.其他工程</w:t>
      </w:r>
    </w:p>
    <w:p>
      <w:pPr>
        <w:spacing w:line="360" w:lineRule="auto"/>
        <w:ind w:firstLine="480"/>
        <w:rPr>
          <w:rFonts w:hint="eastAsia" w:ascii="宋体" w:hAnsi="宋体" w:eastAsia="宋体" w:cs="宋体"/>
          <w:sz w:val="24"/>
          <w:u w:val="single"/>
        </w:rPr>
      </w:pPr>
      <w:r>
        <w:rPr>
          <w:rFonts w:hint="eastAsia" w:ascii="宋体" w:hAnsi="宋体" w:eastAsia="宋体" w:cs="宋体"/>
          <w:sz w:val="24"/>
          <w:u w:val="single"/>
        </w:rPr>
        <w:t xml:space="preserve">                                                                   </w:t>
      </w:r>
    </w:p>
    <w:p>
      <w:pPr>
        <w:spacing w:line="360" w:lineRule="auto"/>
        <w:ind w:firstLine="480"/>
        <w:rPr>
          <w:rFonts w:hint="eastAsia" w:ascii="宋体" w:hAnsi="宋体" w:eastAsia="宋体" w:cs="宋体"/>
          <w:sz w:val="24"/>
          <w:u w:val="single"/>
        </w:rPr>
      </w:pPr>
      <w:r>
        <w:rPr>
          <w:rFonts w:hint="eastAsia" w:ascii="宋体" w:hAnsi="宋体" w:eastAsia="宋体" w:cs="宋体"/>
          <w:sz w:val="24"/>
          <w:u w:val="single"/>
        </w:rPr>
        <w:t xml:space="preserve">                                                                   </w:t>
      </w:r>
    </w:p>
    <w:p>
      <w:pPr>
        <w:spacing w:line="360" w:lineRule="auto"/>
        <w:ind w:firstLine="480"/>
        <w:rPr>
          <w:rFonts w:hint="eastAsia" w:ascii="宋体" w:hAnsi="宋体" w:eastAsia="宋体" w:cs="宋体"/>
          <w:sz w:val="24"/>
          <w:u w:val="single"/>
        </w:rPr>
      </w:pPr>
    </w:p>
    <w:p>
      <w:pPr>
        <w:pStyle w:val="2"/>
        <w:keepNext w:val="0"/>
        <w:keepLines w:val="0"/>
        <w:numPr>
          <w:ilvl w:val="0"/>
          <w:numId w:val="0"/>
        </w:numPr>
        <w:spacing w:before="80" w:after="0"/>
        <w:rPr>
          <w:rFonts w:hint="eastAsia" w:ascii="宋体" w:hAnsi="宋体" w:eastAsia="宋体" w:cs="宋体"/>
          <w:sz w:val="30"/>
        </w:rPr>
      </w:pPr>
      <w:bookmarkStart w:id="46" w:name="_Toc30411"/>
      <w:bookmarkStart w:id="47" w:name="_Toc67418466"/>
      <w:r>
        <w:rPr>
          <w:rFonts w:hint="eastAsia" w:ascii="宋体" w:hAnsi="宋体" w:eastAsia="宋体" w:cs="宋体"/>
          <w:sz w:val="30"/>
        </w:rPr>
        <w:t>三、合同工期</w:t>
      </w:r>
      <w:bookmarkEnd w:id="45"/>
      <w:bookmarkEnd w:id="46"/>
      <w:bookmarkEnd w:id="47"/>
    </w:p>
    <w:p>
      <w:pPr>
        <w:spacing w:line="360" w:lineRule="auto"/>
        <w:ind w:firstLine="480"/>
        <w:rPr>
          <w:rFonts w:hint="eastAsia" w:ascii="宋体" w:hAnsi="宋体" w:eastAsia="宋体" w:cs="宋体"/>
          <w:sz w:val="24"/>
        </w:rPr>
      </w:pPr>
      <w:r>
        <w:rPr>
          <w:rFonts w:hint="eastAsia" w:ascii="宋体" w:hAnsi="宋体" w:eastAsia="宋体" w:cs="宋体"/>
          <w:sz w:val="24"/>
        </w:rPr>
        <w:t>计划开工日期：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pPr>
        <w:spacing w:line="360" w:lineRule="auto"/>
        <w:ind w:firstLine="480"/>
        <w:rPr>
          <w:rFonts w:hint="eastAsia" w:ascii="宋体" w:hAnsi="宋体" w:eastAsia="宋体" w:cs="宋体"/>
          <w:sz w:val="24"/>
          <w:u w:val="single"/>
        </w:rPr>
      </w:pPr>
      <w:r>
        <w:rPr>
          <w:rFonts w:hint="eastAsia" w:ascii="宋体" w:hAnsi="宋体" w:eastAsia="宋体" w:cs="宋体"/>
          <w:sz w:val="24"/>
        </w:rPr>
        <w:t>计划竣工日期：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pPr>
        <w:spacing w:line="360" w:lineRule="auto"/>
        <w:ind w:firstLine="480"/>
        <w:rPr>
          <w:rFonts w:hint="eastAsia" w:ascii="宋体" w:hAnsi="宋体" w:eastAsia="宋体" w:cs="宋体"/>
          <w:sz w:val="24"/>
        </w:rPr>
      </w:pPr>
      <w:r>
        <w:rPr>
          <w:rFonts w:hint="eastAsia" w:ascii="宋体" w:hAnsi="宋体" w:eastAsia="宋体" w:cs="宋体"/>
          <w:sz w:val="24"/>
        </w:rPr>
        <w:t>合同工期总日历天数</w:t>
      </w:r>
      <w:r>
        <w:rPr>
          <w:rFonts w:hint="eastAsia" w:ascii="宋体" w:hAnsi="宋体" w:eastAsia="宋体" w:cs="宋体"/>
          <w:sz w:val="24"/>
          <w:u w:val="single"/>
        </w:rPr>
        <w:t xml:space="preserve">            </w:t>
      </w:r>
      <w:r>
        <w:rPr>
          <w:rFonts w:hint="eastAsia" w:ascii="宋体" w:hAnsi="宋体" w:eastAsia="宋体" w:cs="宋体"/>
          <w:sz w:val="24"/>
        </w:rPr>
        <w:t>天。</w:t>
      </w:r>
    </w:p>
    <w:p>
      <w:pPr>
        <w:spacing w:line="360" w:lineRule="auto"/>
        <w:ind w:firstLine="480"/>
        <w:rPr>
          <w:rFonts w:hint="eastAsia" w:ascii="宋体" w:hAnsi="宋体" w:eastAsia="宋体" w:cs="宋体"/>
          <w:sz w:val="24"/>
        </w:rPr>
      </w:pPr>
      <w:r>
        <w:rPr>
          <w:rFonts w:hint="eastAsia" w:ascii="宋体" w:hAnsi="宋体" w:eastAsia="宋体" w:cs="宋体"/>
          <w:sz w:val="24"/>
        </w:rPr>
        <w:t>招标工期总日历天数</w:t>
      </w:r>
      <w:r>
        <w:rPr>
          <w:rFonts w:hint="eastAsia" w:ascii="宋体" w:hAnsi="宋体" w:eastAsia="宋体" w:cs="宋体"/>
          <w:sz w:val="24"/>
          <w:u w:val="single"/>
        </w:rPr>
        <w:t xml:space="preserve">            </w:t>
      </w:r>
      <w:r>
        <w:rPr>
          <w:rFonts w:hint="eastAsia" w:ascii="宋体" w:hAnsi="宋体" w:eastAsia="宋体" w:cs="宋体"/>
          <w:sz w:val="24"/>
        </w:rPr>
        <w:t>天。</w:t>
      </w:r>
    </w:p>
    <w:p>
      <w:pPr>
        <w:spacing w:line="360" w:lineRule="auto"/>
        <w:ind w:firstLine="480"/>
        <w:rPr>
          <w:rFonts w:hint="eastAsia" w:ascii="宋体" w:hAnsi="宋体" w:eastAsia="宋体" w:cs="宋体"/>
          <w:sz w:val="24"/>
        </w:rPr>
      </w:pPr>
      <w:r>
        <w:rPr>
          <w:rFonts w:hint="eastAsia" w:ascii="宋体" w:hAnsi="宋体" w:eastAsia="宋体" w:cs="宋体"/>
          <w:sz w:val="24"/>
        </w:rPr>
        <w:t>定额工期总日历天数</w:t>
      </w:r>
      <w:r>
        <w:rPr>
          <w:rFonts w:hint="eastAsia" w:ascii="宋体" w:hAnsi="宋体" w:eastAsia="宋体" w:cs="宋体"/>
          <w:bCs/>
          <w:sz w:val="28"/>
          <w:szCs w:val="28"/>
          <w:u w:val="single"/>
        </w:rPr>
        <w:t xml:space="preserve">          </w:t>
      </w:r>
      <w:r>
        <w:rPr>
          <w:rFonts w:hint="eastAsia" w:ascii="宋体" w:hAnsi="宋体" w:eastAsia="宋体" w:cs="宋体"/>
          <w:sz w:val="24"/>
        </w:rPr>
        <w:t>天。</w:t>
      </w:r>
    </w:p>
    <w:p>
      <w:pPr>
        <w:spacing w:line="360" w:lineRule="auto"/>
        <w:ind w:firstLine="480"/>
        <w:rPr>
          <w:rFonts w:hint="eastAsia" w:ascii="宋体" w:hAnsi="宋体" w:eastAsia="宋体" w:cs="宋体"/>
          <w:sz w:val="24"/>
          <w:u w:val="single"/>
        </w:rPr>
      </w:pPr>
      <w:r>
        <w:rPr>
          <w:rFonts w:hint="eastAsia" w:ascii="宋体" w:hAnsi="宋体" w:eastAsia="宋体" w:cs="宋体"/>
          <w:sz w:val="24"/>
        </w:rPr>
        <w:t>合同工期对比定额工期的压缩比例为</w:t>
      </w:r>
      <w:r>
        <w:rPr>
          <w:rFonts w:hint="eastAsia" w:ascii="宋体" w:hAnsi="宋体" w:eastAsia="宋体" w:cs="宋体"/>
          <w:b/>
          <w:bCs/>
          <w:sz w:val="28"/>
          <w:szCs w:val="28"/>
          <w:u w:val="single"/>
        </w:rPr>
        <w:t xml:space="preserve">    </w:t>
      </w:r>
      <w:r>
        <w:rPr>
          <w:rFonts w:hint="eastAsia" w:ascii="宋体" w:hAnsi="宋体" w:eastAsia="宋体" w:cs="宋体"/>
          <w:bCs/>
          <w:sz w:val="28"/>
          <w:szCs w:val="28"/>
          <w:u w:val="single"/>
        </w:rPr>
        <w:t>%</w:t>
      </w:r>
      <w:r>
        <w:rPr>
          <w:rFonts w:hint="eastAsia" w:ascii="宋体" w:hAnsi="宋体" w:eastAsia="宋体" w:cs="宋体"/>
          <w:b/>
          <w:bCs/>
          <w:sz w:val="28"/>
          <w:szCs w:val="28"/>
          <w:u w:val="single"/>
        </w:rPr>
        <w:t xml:space="preserve"> </w:t>
      </w:r>
      <w:r>
        <w:rPr>
          <w:rFonts w:hint="eastAsia" w:ascii="宋体" w:hAnsi="宋体" w:eastAsia="宋体" w:cs="宋体"/>
          <w:sz w:val="24"/>
        </w:rPr>
        <w:t xml:space="preserve"> (压缩比例=1-合同工期/定额工期)。</w:t>
      </w:r>
    </w:p>
    <w:p>
      <w:pPr>
        <w:pStyle w:val="2"/>
        <w:keepNext w:val="0"/>
        <w:keepLines w:val="0"/>
        <w:widowControl w:val="0"/>
        <w:numPr>
          <w:ilvl w:val="0"/>
          <w:numId w:val="0"/>
        </w:numPr>
        <w:spacing w:before="80" w:after="0"/>
        <w:rPr>
          <w:rFonts w:hint="eastAsia" w:ascii="宋体" w:hAnsi="宋体" w:eastAsia="宋体" w:cs="宋体"/>
          <w:sz w:val="30"/>
        </w:rPr>
      </w:pPr>
      <w:bookmarkStart w:id="48" w:name="_Toc67418467"/>
      <w:bookmarkStart w:id="49" w:name="_Toc302635681"/>
      <w:bookmarkStart w:id="50" w:name="_Toc18849"/>
      <w:r>
        <w:rPr>
          <w:rFonts w:hint="eastAsia" w:ascii="宋体" w:hAnsi="宋体" w:eastAsia="宋体" w:cs="宋体"/>
          <w:sz w:val="30"/>
        </w:rPr>
        <w:t>四、质量标准</w:t>
      </w:r>
      <w:bookmarkEnd w:id="48"/>
      <w:bookmarkEnd w:id="49"/>
      <w:bookmarkEnd w:id="50"/>
    </w:p>
    <w:p>
      <w:pPr>
        <w:spacing w:line="360" w:lineRule="auto"/>
        <w:ind w:firstLine="480"/>
        <w:rPr>
          <w:rFonts w:hint="eastAsia" w:ascii="宋体" w:hAnsi="宋体" w:eastAsia="宋体" w:cs="宋体"/>
          <w:sz w:val="24"/>
          <w:u w:val="single"/>
        </w:rPr>
      </w:pPr>
      <w:r>
        <w:rPr>
          <w:rFonts w:hint="eastAsia" w:ascii="宋体" w:hAnsi="宋体" w:eastAsia="宋体" w:cs="宋体"/>
          <w:sz w:val="24"/>
        </w:rPr>
        <w:t>本工程质量标准：</w:t>
      </w:r>
      <w:r>
        <w:rPr>
          <w:rFonts w:hint="eastAsia" w:ascii="宋体" w:hAnsi="宋体" w:eastAsia="宋体" w:cs="宋体"/>
          <w:bCs/>
          <w:sz w:val="24"/>
          <w:u w:val="single"/>
        </w:rPr>
        <w:t xml:space="preserve">                                                 </w:t>
      </w:r>
    </w:p>
    <w:p>
      <w:pPr>
        <w:pStyle w:val="2"/>
        <w:keepNext w:val="0"/>
        <w:keepLines w:val="0"/>
        <w:numPr>
          <w:ilvl w:val="0"/>
          <w:numId w:val="0"/>
        </w:numPr>
        <w:spacing w:before="80" w:after="0"/>
        <w:rPr>
          <w:rFonts w:hint="eastAsia" w:ascii="宋体" w:hAnsi="宋体" w:eastAsia="宋体" w:cs="宋体"/>
          <w:sz w:val="30"/>
        </w:rPr>
      </w:pPr>
      <w:bookmarkStart w:id="51" w:name="_Toc302635682"/>
      <w:bookmarkStart w:id="52" w:name="_Toc10302"/>
      <w:bookmarkStart w:id="53" w:name="_Toc67418468"/>
      <w:r>
        <w:rPr>
          <w:rFonts w:hint="eastAsia" w:ascii="宋体" w:hAnsi="宋体" w:eastAsia="宋体" w:cs="宋体"/>
          <w:sz w:val="30"/>
        </w:rPr>
        <w:t>五、</w:t>
      </w:r>
      <w:bookmarkEnd w:id="51"/>
      <w:r>
        <w:rPr>
          <w:rFonts w:hint="eastAsia" w:ascii="宋体" w:hAnsi="宋体" w:eastAsia="宋体" w:cs="宋体"/>
          <w:sz w:val="30"/>
        </w:rPr>
        <w:t>签约合同价</w:t>
      </w:r>
      <w:bookmarkEnd w:id="52"/>
      <w:bookmarkEnd w:id="53"/>
    </w:p>
    <w:p>
      <w:pPr>
        <w:spacing w:line="360" w:lineRule="auto"/>
        <w:ind w:firstLine="475"/>
        <w:rPr>
          <w:rFonts w:hint="eastAsia" w:ascii="宋体" w:hAnsi="宋体" w:eastAsia="宋体" w:cs="宋体"/>
          <w:sz w:val="24"/>
        </w:rPr>
      </w:pPr>
      <w:r>
        <w:rPr>
          <w:rFonts w:hint="eastAsia" w:ascii="宋体" w:hAnsi="宋体" w:eastAsia="宋体" w:cs="宋体"/>
          <w:sz w:val="24"/>
        </w:rPr>
        <w:t>人民币（大写）</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元)；</w:t>
      </w:r>
    </w:p>
    <w:p>
      <w:pPr>
        <w:spacing w:line="360" w:lineRule="auto"/>
        <w:ind w:firstLine="475"/>
        <w:rPr>
          <w:rFonts w:hint="eastAsia" w:ascii="宋体" w:hAnsi="宋体" w:eastAsia="宋体" w:cs="宋体"/>
          <w:sz w:val="24"/>
        </w:rPr>
      </w:pPr>
      <w:r>
        <w:rPr>
          <w:rFonts w:hint="eastAsia" w:ascii="宋体" w:hAnsi="宋体" w:eastAsia="宋体" w:cs="宋体"/>
          <w:sz w:val="24"/>
        </w:rPr>
        <w:t>其中：</w:t>
      </w:r>
    </w:p>
    <w:p>
      <w:pPr>
        <w:spacing w:line="360" w:lineRule="auto"/>
        <w:ind w:firstLine="475"/>
        <w:rPr>
          <w:rFonts w:hint="eastAsia" w:ascii="宋体" w:hAnsi="宋体" w:eastAsia="宋体" w:cs="宋体"/>
          <w:sz w:val="24"/>
        </w:rPr>
      </w:pPr>
      <w:r>
        <w:rPr>
          <w:rFonts w:hint="eastAsia" w:ascii="宋体" w:hAnsi="宋体" w:eastAsia="宋体" w:cs="宋体"/>
          <w:sz w:val="24"/>
        </w:rPr>
        <w:t>⑴安全文明施工费：</w:t>
      </w:r>
    </w:p>
    <w:p>
      <w:pPr>
        <w:spacing w:line="360" w:lineRule="auto"/>
        <w:ind w:firstLine="475"/>
        <w:rPr>
          <w:rFonts w:hint="eastAsia" w:ascii="宋体" w:hAnsi="宋体" w:eastAsia="宋体" w:cs="宋体"/>
          <w:sz w:val="24"/>
        </w:rPr>
      </w:pPr>
      <w:r>
        <w:rPr>
          <w:rFonts w:hint="eastAsia" w:ascii="宋体" w:hAnsi="宋体" w:eastAsia="宋体" w:cs="宋体"/>
          <w:sz w:val="24"/>
        </w:rPr>
        <w:t>人民币（大写）</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r>
        <w:rPr>
          <w:rFonts w:hint="eastAsia" w:ascii="宋体" w:hAnsi="宋体" w:eastAsia="宋体" w:cs="宋体"/>
          <w:sz w:val="24"/>
        </w:rPr>
        <w:t>元)；</w:t>
      </w:r>
    </w:p>
    <w:p>
      <w:pPr>
        <w:spacing w:line="360" w:lineRule="auto"/>
        <w:ind w:firstLine="475"/>
        <w:rPr>
          <w:rFonts w:hint="eastAsia" w:ascii="宋体" w:hAnsi="宋体" w:eastAsia="宋体" w:cs="宋体"/>
          <w:sz w:val="24"/>
        </w:rPr>
      </w:pPr>
      <w:r>
        <w:rPr>
          <w:rFonts w:hint="eastAsia" w:ascii="宋体" w:hAnsi="宋体" w:eastAsia="宋体" w:cs="宋体"/>
          <w:sz w:val="24"/>
        </w:rPr>
        <w:t>⑵材料和工程设备暂估价金额：</w:t>
      </w:r>
    </w:p>
    <w:p>
      <w:pPr>
        <w:spacing w:line="360" w:lineRule="auto"/>
        <w:ind w:firstLine="475"/>
        <w:rPr>
          <w:rFonts w:hint="eastAsia" w:ascii="宋体" w:hAnsi="宋体" w:eastAsia="宋体" w:cs="宋体"/>
          <w:sz w:val="24"/>
        </w:rPr>
      </w:pPr>
      <w:r>
        <w:rPr>
          <w:rFonts w:hint="eastAsia" w:ascii="宋体" w:hAnsi="宋体" w:eastAsia="宋体" w:cs="宋体"/>
          <w:sz w:val="24"/>
        </w:rPr>
        <w:t>人民币（大写）</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r>
        <w:rPr>
          <w:rFonts w:hint="eastAsia" w:ascii="宋体" w:hAnsi="宋体" w:eastAsia="宋体" w:cs="宋体"/>
          <w:sz w:val="24"/>
        </w:rPr>
        <w:t>元)；</w:t>
      </w:r>
    </w:p>
    <w:p>
      <w:pPr>
        <w:spacing w:line="360" w:lineRule="auto"/>
        <w:ind w:firstLine="475"/>
        <w:rPr>
          <w:rFonts w:hint="eastAsia" w:ascii="宋体" w:hAnsi="宋体" w:eastAsia="宋体" w:cs="宋体"/>
          <w:sz w:val="24"/>
        </w:rPr>
      </w:pPr>
      <w:r>
        <w:rPr>
          <w:rFonts w:hint="eastAsia" w:ascii="宋体" w:hAnsi="宋体" w:eastAsia="宋体" w:cs="宋体"/>
          <w:sz w:val="24"/>
        </w:rPr>
        <w:t>⑶专业工程暂估价金额：</w:t>
      </w:r>
    </w:p>
    <w:p>
      <w:pPr>
        <w:spacing w:line="360" w:lineRule="auto"/>
        <w:ind w:firstLine="475"/>
        <w:rPr>
          <w:rFonts w:hint="eastAsia" w:ascii="宋体" w:hAnsi="宋体" w:eastAsia="宋体" w:cs="宋体"/>
          <w:sz w:val="24"/>
        </w:rPr>
      </w:pPr>
      <w:r>
        <w:rPr>
          <w:rFonts w:hint="eastAsia" w:ascii="宋体" w:hAnsi="宋体" w:eastAsia="宋体" w:cs="宋体"/>
          <w:sz w:val="24"/>
        </w:rPr>
        <w:t>人民币（大写）</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r>
        <w:rPr>
          <w:rFonts w:hint="eastAsia" w:ascii="宋体" w:hAnsi="宋体" w:eastAsia="宋体" w:cs="宋体"/>
          <w:sz w:val="24"/>
        </w:rPr>
        <w:t>元)；</w:t>
      </w:r>
    </w:p>
    <w:p>
      <w:pPr>
        <w:spacing w:line="360" w:lineRule="auto"/>
        <w:ind w:firstLine="475"/>
        <w:rPr>
          <w:rFonts w:hint="eastAsia" w:ascii="宋体" w:hAnsi="宋体" w:eastAsia="宋体" w:cs="宋体"/>
          <w:sz w:val="24"/>
        </w:rPr>
      </w:pPr>
      <w:r>
        <w:rPr>
          <w:rFonts w:hint="eastAsia" w:ascii="宋体" w:hAnsi="宋体" w:eastAsia="宋体" w:cs="宋体"/>
          <w:sz w:val="24"/>
        </w:rPr>
        <w:t>⑷暂列金额：</w:t>
      </w:r>
    </w:p>
    <w:p>
      <w:pPr>
        <w:spacing w:line="360" w:lineRule="auto"/>
        <w:ind w:firstLine="475"/>
        <w:rPr>
          <w:rFonts w:hint="eastAsia" w:ascii="宋体" w:hAnsi="宋体" w:eastAsia="宋体" w:cs="宋体"/>
          <w:sz w:val="24"/>
        </w:rPr>
      </w:pPr>
      <w:r>
        <w:rPr>
          <w:rFonts w:hint="eastAsia" w:ascii="宋体" w:hAnsi="宋体" w:eastAsia="宋体" w:cs="宋体"/>
          <w:sz w:val="24"/>
        </w:rPr>
        <w:t>人民币（大写）</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r>
        <w:rPr>
          <w:rFonts w:hint="eastAsia" w:ascii="宋体" w:hAnsi="宋体" w:eastAsia="宋体" w:cs="宋体"/>
          <w:sz w:val="24"/>
        </w:rPr>
        <w:t>元)。</w:t>
      </w:r>
    </w:p>
    <w:p>
      <w:pPr>
        <w:pStyle w:val="2"/>
        <w:keepNext w:val="0"/>
        <w:keepLines w:val="0"/>
        <w:numPr>
          <w:ilvl w:val="0"/>
          <w:numId w:val="0"/>
        </w:numPr>
        <w:spacing w:before="80" w:after="0"/>
        <w:rPr>
          <w:rFonts w:hint="eastAsia" w:ascii="宋体" w:hAnsi="宋体" w:eastAsia="宋体" w:cs="宋体"/>
          <w:sz w:val="30"/>
        </w:rPr>
      </w:pPr>
      <w:bookmarkStart w:id="54" w:name="_Toc67418469"/>
      <w:bookmarkStart w:id="55" w:name="_Toc12476"/>
      <w:bookmarkStart w:id="56" w:name="_Toc302635683"/>
      <w:r>
        <w:rPr>
          <w:rFonts w:hint="eastAsia" w:ascii="宋体" w:hAnsi="宋体" w:eastAsia="宋体" w:cs="宋体"/>
          <w:sz w:val="30"/>
        </w:rPr>
        <w:t>六、工人工资专用账户信息</w:t>
      </w:r>
      <w:bookmarkEnd w:id="54"/>
      <w:bookmarkEnd w:id="55"/>
    </w:p>
    <w:p>
      <w:pPr>
        <w:spacing w:line="360" w:lineRule="auto"/>
        <w:ind w:firstLine="480"/>
        <w:rPr>
          <w:rFonts w:hint="eastAsia" w:ascii="宋体" w:hAnsi="宋体" w:eastAsia="宋体" w:cs="宋体"/>
          <w:sz w:val="24"/>
        </w:rPr>
      </w:pPr>
      <w:r>
        <w:rPr>
          <w:rFonts w:hint="eastAsia" w:ascii="宋体" w:hAnsi="宋体" w:eastAsia="宋体" w:cs="宋体"/>
          <w:sz w:val="24"/>
        </w:rPr>
        <w:t>工人工资款支付专用账户名称：</w:t>
      </w:r>
      <w:r>
        <w:rPr>
          <w:rFonts w:hint="eastAsia" w:ascii="宋体" w:hAnsi="宋体" w:eastAsia="宋体" w:cs="宋体"/>
          <w:sz w:val="24"/>
          <w:u w:val="single"/>
        </w:rPr>
        <w:t xml:space="preserve">                                         </w:t>
      </w:r>
    </w:p>
    <w:p>
      <w:pPr>
        <w:spacing w:line="360" w:lineRule="auto"/>
        <w:ind w:firstLine="480"/>
        <w:rPr>
          <w:rFonts w:hint="eastAsia" w:ascii="宋体" w:hAnsi="宋体" w:eastAsia="宋体" w:cs="宋体"/>
          <w:sz w:val="24"/>
        </w:rPr>
      </w:pPr>
      <w:r>
        <w:rPr>
          <w:rFonts w:hint="eastAsia" w:ascii="宋体" w:hAnsi="宋体" w:eastAsia="宋体" w:cs="宋体"/>
          <w:sz w:val="24"/>
        </w:rPr>
        <w:t>工人工资款支付专用账户开户银行：</w:t>
      </w:r>
      <w:r>
        <w:rPr>
          <w:rFonts w:hint="eastAsia" w:ascii="宋体" w:hAnsi="宋体" w:eastAsia="宋体" w:cs="宋体"/>
          <w:sz w:val="24"/>
          <w:u w:val="single"/>
        </w:rPr>
        <w:t xml:space="preserve">                                     </w:t>
      </w:r>
    </w:p>
    <w:p>
      <w:pPr>
        <w:spacing w:line="360" w:lineRule="auto"/>
        <w:ind w:firstLine="480"/>
        <w:rPr>
          <w:rFonts w:hint="eastAsia" w:ascii="宋体" w:hAnsi="宋体" w:eastAsia="宋体" w:cs="宋体"/>
          <w:sz w:val="24"/>
          <w:u w:val="single"/>
        </w:rPr>
      </w:pPr>
      <w:r>
        <w:rPr>
          <w:rFonts w:hint="eastAsia" w:ascii="宋体" w:hAnsi="宋体" w:eastAsia="宋体" w:cs="宋体"/>
          <w:sz w:val="24"/>
        </w:rPr>
        <w:t>工人工资款支付专用账户号：</w:t>
      </w:r>
      <w:r>
        <w:rPr>
          <w:rFonts w:hint="eastAsia" w:ascii="宋体" w:hAnsi="宋体" w:eastAsia="宋体" w:cs="宋体"/>
          <w:sz w:val="24"/>
          <w:u w:val="single"/>
        </w:rPr>
        <w:t xml:space="preserve">                                             </w:t>
      </w:r>
    </w:p>
    <w:p>
      <w:pPr>
        <w:pStyle w:val="2"/>
        <w:keepNext w:val="0"/>
        <w:keepLines w:val="0"/>
        <w:numPr>
          <w:ilvl w:val="0"/>
          <w:numId w:val="0"/>
        </w:numPr>
        <w:spacing w:before="80" w:after="0"/>
        <w:rPr>
          <w:rFonts w:hint="eastAsia" w:ascii="宋体" w:hAnsi="宋体" w:eastAsia="宋体" w:cs="宋体"/>
          <w:sz w:val="30"/>
        </w:rPr>
      </w:pPr>
      <w:bookmarkStart w:id="57" w:name="_Toc27958"/>
      <w:bookmarkStart w:id="58" w:name="_Toc67418470"/>
      <w:r>
        <w:rPr>
          <w:rFonts w:hint="eastAsia" w:ascii="宋体" w:hAnsi="宋体" w:eastAsia="宋体" w:cs="宋体"/>
          <w:sz w:val="30"/>
        </w:rPr>
        <w:t>七、组成合同的文件</w:t>
      </w:r>
      <w:bookmarkEnd w:id="56"/>
      <w:bookmarkEnd w:id="57"/>
      <w:bookmarkEnd w:id="58"/>
    </w:p>
    <w:p>
      <w:pPr>
        <w:spacing w:line="360" w:lineRule="auto"/>
        <w:ind w:firstLine="480"/>
        <w:rPr>
          <w:rFonts w:hint="eastAsia" w:ascii="宋体" w:hAnsi="宋体" w:eastAsia="宋体" w:cs="宋体"/>
          <w:sz w:val="24"/>
        </w:rPr>
      </w:pPr>
      <w:r>
        <w:rPr>
          <w:rFonts w:hint="eastAsia" w:ascii="宋体" w:hAnsi="宋体" w:eastAsia="宋体" w:cs="宋体"/>
          <w:sz w:val="24"/>
        </w:rPr>
        <w:t>组成本合同的文件及优先解释顺序与本合同通用条款2.1款的规定一致：</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⑴本合同签订后双方新签订的补充协议；</w:t>
      </w:r>
    </w:p>
    <w:p>
      <w:pPr>
        <w:spacing w:line="360" w:lineRule="auto"/>
        <w:ind w:firstLine="480"/>
        <w:rPr>
          <w:rFonts w:hint="eastAsia" w:ascii="宋体" w:hAnsi="宋体" w:eastAsia="宋体" w:cs="宋体"/>
          <w:sz w:val="24"/>
        </w:rPr>
      </w:pPr>
      <w:r>
        <w:rPr>
          <w:rFonts w:hint="eastAsia" w:ascii="宋体" w:hAnsi="宋体" w:eastAsia="宋体" w:cs="宋体"/>
          <w:sz w:val="24"/>
        </w:rPr>
        <w:t>⑵本合同第一部分的协议书；</w:t>
      </w:r>
    </w:p>
    <w:p>
      <w:pPr>
        <w:spacing w:line="360" w:lineRule="auto"/>
        <w:ind w:firstLine="480"/>
        <w:rPr>
          <w:rFonts w:hint="eastAsia" w:ascii="宋体" w:hAnsi="宋体" w:eastAsia="宋体" w:cs="宋体"/>
          <w:sz w:val="24"/>
        </w:rPr>
      </w:pPr>
      <w:r>
        <w:rPr>
          <w:rFonts w:hint="eastAsia" w:ascii="宋体" w:hAnsi="宋体" w:eastAsia="宋体" w:cs="宋体"/>
          <w:sz w:val="24"/>
        </w:rPr>
        <w:t xml:space="preserve">⑶中标通知书及其附件； </w:t>
      </w:r>
    </w:p>
    <w:p>
      <w:pPr>
        <w:spacing w:line="360" w:lineRule="auto"/>
        <w:ind w:firstLine="480"/>
        <w:rPr>
          <w:rFonts w:hint="eastAsia" w:ascii="宋体" w:hAnsi="宋体" w:eastAsia="宋体" w:cs="宋体"/>
          <w:sz w:val="24"/>
        </w:rPr>
      </w:pPr>
      <w:r>
        <w:rPr>
          <w:rFonts w:hint="eastAsia" w:ascii="宋体" w:hAnsi="宋体" w:eastAsia="宋体" w:cs="宋体"/>
          <w:sz w:val="24"/>
        </w:rPr>
        <w:t>⑷本合同第四部分的补充条款；</w:t>
      </w:r>
    </w:p>
    <w:p>
      <w:pPr>
        <w:spacing w:line="360" w:lineRule="auto"/>
        <w:ind w:firstLine="480"/>
        <w:rPr>
          <w:rFonts w:hint="eastAsia" w:ascii="宋体" w:hAnsi="宋体" w:eastAsia="宋体" w:cs="宋体"/>
          <w:sz w:val="24"/>
        </w:rPr>
      </w:pPr>
      <w:r>
        <w:rPr>
          <w:rFonts w:hint="eastAsia" w:ascii="宋体" w:hAnsi="宋体" w:eastAsia="宋体" w:cs="宋体"/>
          <w:sz w:val="24"/>
        </w:rPr>
        <w:t>⑸本合同第三部分的专用条款；</w:t>
      </w:r>
    </w:p>
    <w:p>
      <w:pPr>
        <w:spacing w:line="360" w:lineRule="auto"/>
        <w:ind w:firstLine="480"/>
        <w:rPr>
          <w:rFonts w:hint="eastAsia" w:ascii="宋体" w:hAnsi="宋体" w:eastAsia="宋体" w:cs="宋体"/>
          <w:sz w:val="24"/>
        </w:rPr>
      </w:pPr>
      <w:r>
        <w:rPr>
          <w:rFonts w:hint="eastAsia" w:ascii="宋体" w:hAnsi="宋体" w:eastAsia="宋体" w:cs="宋体"/>
          <w:sz w:val="24"/>
        </w:rPr>
        <w:t>⑹本合同第二部分的通用条款；</w:t>
      </w:r>
    </w:p>
    <w:p>
      <w:pPr>
        <w:spacing w:line="360" w:lineRule="auto"/>
        <w:ind w:firstLine="480"/>
        <w:rPr>
          <w:rFonts w:hint="eastAsia" w:ascii="宋体" w:hAnsi="宋体" w:eastAsia="宋体" w:cs="宋体"/>
          <w:sz w:val="24"/>
        </w:rPr>
      </w:pPr>
      <w:r>
        <w:rPr>
          <w:rFonts w:hint="eastAsia" w:ascii="宋体" w:hAnsi="宋体" w:eastAsia="宋体" w:cs="宋体"/>
          <w:sz w:val="24"/>
        </w:rPr>
        <w:t>⑺本工程招标文件中的技术要求和投标报价规定；</w:t>
      </w:r>
    </w:p>
    <w:p>
      <w:pPr>
        <w:spacing w:line="360" w:lineRule="auto"/>
        <w:ind w:firstLine="480"/>
        <w:rPr>
          <w:rFonts w:hint="eastAsia" w:ascii="宋体" w:hAnsi="宋体" w:eastAsia="宋体" w:cs="宋体"/>
          <w:sz w:val="24"/>
        </w:rPr>
      </w:pPr>
      <w:r>
        <w:rPr>
          <w:rFonts w:hint="eastAsia" w:ascii="宋体" w:hAnsi="宋体" w:eastAsia="宋体" w:cs="宋体"/>
          <w:sz w:val="24"/>
        </w:rPr>
        <w:t>⑻投标文件(包括承包人在评标期间和合同谈判过程中递交和确认并经发包人同意的对有关问题的补充资料和澄清文件等)；</w:t>
      </w:r>
    </w:p>
    <w:p>
      <w:pPr>
        <w:spacing w:line="360" w:lineRule="auto"/>
        <w:ind w:firstLine="480"/>
        <w:rPr>
          <w:rFonts w:hint="eastAsia" w:ascii="宋体" w:hAnsi="宋体" w:eastAsia="宋体" w:cs="宋体"/>
          <w:sz w:val="24"/>
        </w:rPr>
      </w:pPr>
      <w:r>
        <w:rPr>
          <w:rFonts w:hint="eastAsia" w:ascii="宋体" w:hAnsi="宋体" w:eastAsia="宋体" w:cs="宋体"/>
          <w:sz w:val="24"/>
        </w:rPr>
        <w:t>⑼现行的标准、规范、规定及有关技术文件；</w:t>
      </w:r>
    </w:p>
    <w:p>
      <w:pPr>
        <w:spacing w:line="360" w:lineRule="auto"/>
        <w:ind w:firstLine="480"/>
        <w:rPr>
          <w:rFonts w:hint="eastAsia" w:ascii="宋体" w:hAnsi="宋体" w:eastAsia="宋体" w:cs="宋体"/>
          <w:sz w:val="24"/>
        </w:rPr>
      </w:pPr>
      <w:r>
        <w:rPr>
          <w:rFonts w:hint="eastAsia" w:ascii="宋体" w:hAnsi="宋体" w:eastAsia="宋体" w:cs="宋体"/>
          <w:sz w:val="24"/>
        </w:rPr>
        <w:t>⑽图纸和技术规格书；</w:t>
      </w:r>
    </w:p>
    <w:p>
      <w:pPr>
        <w:spacing w:line="360" w:lineRule="auto"/>
        <w:ind w:firstLine="480"/>
        <w:rPr>
          <w:rFonts w:hint="eastAsia" w:ascii="宋体" w:hAnsi="宋体" w:eastAsia="宋体" w:cs="宋体"/>
          <w:sz w:val="24"/>
        </w:rPr>
      </w:pPr>
      <w:r>
        <w:rPr>
          <w:rFonts w:hint="eastAsia" w:ascii="宋体" w:hAnsi="宋体" w:eastAsia="宋体" w:cs="宋体"/>
          <w:sz w:val="24"/>
        </w:rPr>
        <w:t>⑾已标价工程量清单；</w:t>
      </w:r>
    </w:p>
    <w:p>
      <w:pPr>
        <w:spacing w:line="360" w:lineRule="auto"/>
        <w:ind w:firstLine="480"/>
        <w:rPr>
          <w:rFonts w:hint="eastAsia" w:ascii="宋体" w:hAnsi="宋体" w:eastAsia="宋体" w:cs="宋体"/>
          <w:sz w:val="24"/>
        </w:rPr>
      </w:pPr>
      <w:r>
        <w:rPr>
          <w:rFonts w:hint="eastAsia" w:ascii="宋体" w:hAnsi="宋体" w:eastAsia="宋体" w:cs="宋体"/>
          <w:sz w:val="24"/>
        </w:rPr>
        <w:t>⑿发包人和承包人双方有关本工程的变更、签证、洽商、索赔、询价采购凭证等书面文件及组成合同的其他文件。</w:t>
      </w:r>
    </w:p>
    <w:p>
      <w:pPr>
        <w:pStyle w:val="2"/>
        <w:keepNext w:val="0"/>
        <w:keepLines w:val="0"/>
        <w:numPr>
          <w:ilvl w:val="0"/>
          <w:numId w:val="0"/>
        </w:numPr>
        <w:spacing w:before="80" w:after="0"/>
        <w:rPr>
          <w:rFonts w:hint="eastAsia" w:ascii="宋体" w:hAnsi="宋体" w:eastAsia="宋体" w:cs="宋体"/>
          <w:sz w:val="30"/>
        </w:rPr>
      </w:pPr>
      <w:bookmarkStart w:id="59" w:name="_Toc302635684"/>
      <w:bookmarkStart w:id="60" w:name="_Toc11547"/>
      <w:bookmarkStart w:id="61" w:name="_Toc67418471"/>
      <w:r>
        <w:rPr>
          <w:rFonts w:hint="eastAsia" w:ascii="宋体" w:hAnsi="宋体" w:eastAsia="宋体" w:cs="宋体"/>
          <w:sz w:val="30"/>
        </w:rPr>
        <w:t>八、词语含义</w:t>
      </w:r>
      <w:bookmarkEnd w:id="59"/>
      <w:bookmarkEnd w:id="60"/>
      <w:bookmarkEnd w:id="61"/>
    </w:p>
    <w:p>
      <w:pPr>
        <w:spacing w:line="360" w:lineRule="auto"/>
        <w:ind w:firstLine="480"/>
        <w:rPr>
          <w:rFonts w:hint="eastAsia" w:ascii="宋体" w:hAnsi="宋体" w:eastAsia="宋体" w:cs="宋体"/>
          <w:sz w:val="24"/>
        </w:rPr>
      </w:pPr>
      <w:r>
        <w:rPr>
          <w:rFonts w:hint="eastAsia" w:ascii="宋体" w:hAnsi="宋体" w:eastAsia="宋体" w:cs="宋体"/>
          <w:sz w:val="24"/>
        </w:rPr>
        <w:t>本协议书中有关词语含义与本合同“通用条款”中赋予它们的定义相同。</w:t>
      </w:r>
    </w:p>
    <w:p>
      <w:pPr>
        <w:pStyle w:val="2"/>
        <w:keepNext w:val="0"/>
        <w:keepLines w:val="0"/>
        <w:numPr>
          <w:ilvl w:val="0"/>
          <w:numId w:val="0"/>
        </w:numPr>
        <w:spacing w:before="80" w:after="0"/>
        <w:rPr>
          <w:rFonts w:hint="eastAsia" w:ascii="宋体" w:hAnsi="宋体" w:eastAsia="宋体" w:cs="宋体"/>
          <w:sz w:val="30"/>
        </w:rPr>
      </w:pPr>
      <w:bookmarkStart w:id="62" w:name="_Toc67418472"/>
      <w:bookmarkStart w:id="63" w:name="_Toc26592"/>
      <w:bookmarkStart w:id="64" w:name="_Toc302635685"/>
      <w:r>
        <w:rPr>
          <w:rFonts w:hint="eastAsia" w:ascii="宋体" w:hAnsi="宋体" w:eastAsia="宋体" w:cs="宋体"/>
          <w:sz w:val="30"/>
        </w:rPr>
        <w:t>九、承诺</w:t>
      </w:r>
      <w:bookmarkEnd w:id="62"/>
      <w:bookmarkEnd w:id="63"/>
      <w:bookmarkEnd w:id="64"/>
    </w:p>
    <w:p>
      <w:pPr>
        <w:spacing w:line="360" w:lineRule="auto"/>
        <w:ind w:firstLine="480"/>
        <w:rPr>
          <w:rFonts w:hint="eastAsia" w:ascii="宋体" w:hAnsi="宋体" w:eastAsia="宋体" w:cs="宋体"/>
          <w:bCs/>
          <w:sz w:val="24"/>
        </w:rPr>
      </w:pPr>
      <w:r>
        <w:rPr>
          <w:rFonts w:hint="eastAsia" w:ascii="宋体" w:hAnsi="宋体" w:eastAsia="宋体" w:cs="宋体"/>
          <w:bCs/>
          <w:sz w:val="24"/>
        </w:rPr>
        <w:t>1.发包人承诺按照法律规定履行项目审批手续、筹集工程建设资金并按照合同约定的期限和方式支付合同价款</w:t>
      </w:r>
      <w:r>
        <w:rPr>
          <w:rFonts w:hint="eastAsia" w:ascii="宋体" w:hAnsi="宋体" w:eastAsia="宋体" w:cs="宋体"/>
          <w:sz w:val="24"/>
        </w:rPr>
        <w:t>及其它应当支付的款项,并履行本合同所约定的全部义务</w:t>
      </w:r>
      <w:r>
        <w:rPr>
          <w:rFonts w:hint="eastAsia" w:ascii="宋体" w:hAnsi="宋体" w:eastAsia="宋体" w:cs="宋体"/>
          <w:bCs/>
          <w:sz w:val="24"/>
        </w:rPr>
        <w:t>。</w:t>
      </w:r>
    </w:p>
    <w:p>
      <w:pPr>
        <w:spacing w:line="360" w:lineRule="auto"/>
        <w:ind w:firstLine="480"/>
        <w:rPr>
          <w:rFonts w:hint="eastAsia" w:ascii="宋体" w:hAnsi="宋体" w:eastAsia="宋体" w:cs="宋体"/>
          <w:bCs/>
          <w:sz w:val="24"/>
        </w:rPr>
      </w:pPr>
      <w:r>
        <w:rPr>
          <w:rFonts w:hint="eastAsia" w:ascii="宋体" w:hAnsi="宋体" w:eastAsia="宋体" w:cs="宋体"/>
          <w:bCs/>
          <w:sz w:val="24"/>
        </w:rPr>
        <w:t>2.承包人承诺按照法律规定及合同约定组织完成工程施工，确保工程质量和安全，不进行转包及违法分包，并在质量缺陷责任期及保修期内承担相应的工程维修责任</w:t>
      </w:r>
      <w:r>
        <w:rPr>
          <w:rFonts w:hint="eastAsia" w:ascii="宋体" w:hAnsi="宋体" w:eastAsia="宋体" w:cs="宋体"/>
          <w:sz w:val="24"/>
        </w:rPr>
        <w:t>,并履行本合同所约定的全部义务</w:t>
      </w:r>
      <w:r>
        <w:rPr>
          <w:rFonts w:hint="eastAsia" w:ascii="宋体" w:hAnsi="宋体" w:eastAsia="宋体" w:cs="宋体"/>
          <w:bCs/>
          <w:sz w:val="24"/>
        </w:rPr>
        <w:t>。</w:t>
      </w:r>
    </w:p>
    <w:p>
      <w:pPr>
        <w:spacing w:line="360" w:lineRule="auto"/>
        <w:ind w:firstLine="480"/>
        <w:rPr>
          <w:rFonts w:hint="eastAsia" w:ascii="宋体" w:hAnsi="宋体" w:eastAsia="宋体" w:cs="宋体"/>
          <w:bCs/>
          <w:sz w:val="24"/>
        </w:rPr>
      </w:pPr>
      <w:r>
        <w:rPr>
          <w:rFonts w:hint="eastAsia" w:ascii="宋体" w:hAnsi="宋体" w:eastAsia="宋体" w:cs="宋体"/>
          <w:bCs/>
          <w:sz w:val="24"/>
        </w:rPr>
        <w:t>3.发包人和承包人双方理解并承诺不再就同一工程另行签订与合同实质性内容相背离的协议。</w:t>
      </w:r>
    </w:p>
    <w:p>
      <w:pPr>
        <w:pStyle w:val="2"/>
        <w:keepNext w:val="0"/>
        <w:keepLines w:val="0"/>
        <w:numPr>
          <w:ilvl w:val="0"/>
          <w:numId w:val="0"/>
        </w:numPr>
        <w:spacing w:before="80" w:after="0"/>
        <w:rPr>
          <w:rFonts w:hint="eastAsia" w:ascii="宋体" w:hAnsi="宋体" w:eastAsia="宋体" w:cs="宋体"/>
          <w:sz w:val="30"/>
        </w:rPr>
      </w:pPr>
      <w:bookmarkStart w:id="65" w:name="_Toc67418473"/>
      <w:bookmarkStart w:id="66" w:name="_Toc302635686"/>
      <w:bookmarkStart w:id="67" w:name="_Toc30949"/>
      <w:r>
        <w:rPr>
          <w:rFonts w:hint="eastAsia" w:ascii="宋体" w:hAnsi="宋体" w:eastAsia="宋体" w:cs="宋体"/>
          <w:sz w:val="30"/>
        </w:rPr>
        <w:t>十、合同订立与生效</w:t>
      </w:r>
      <w:bookmarkEnd w:id="65"/>
      <w:bookmarkEnd w:id="66"/>
      <w:bookmarkEnd w:id="67"/>
    </w:p>
    <w:p>
      <w:pPr>
        <w:spacing w:line="360" w:lineRule="auto"/>
        <w:ind w:firstLine="480"/>
        <w:rPr>
          <w:rFonts w:hint="eastAsia" w:ascii="宋体" w:hAnsi="宋体" w:eastAsia="宋体" w:cs="宋体"/>
          <w:sz w:val="24"/>
        </w:rPr>
      </w:pPr>
      <w:r>
        <w:rPr>
          <w:rFonts w:hint="eastAsia" w:ascii="宋体" w:hAnsi="宋体" w:eastAsia="宋体" w:cs="宋体"/>
          <w:sz w:val="24"/>
        </w:rPr>
        <w:t>本合同订立时间：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pPr>
        <w:spacing w:line="360" w:lineRule="auto"/>
        <w:ind w:firstLine="1200"/>
        <w:rPr>
          <w:rFonts w:hint="eastAsia" w:ascii="宋体" w:hAnsi="宋体" w:eastAsia="宋体" w:cs="宋体"/>
          <w:sz w:val="24"/>
        </w:rPr>
      </w:pPr>
      <w:r>
        <w:rPr>
          <w:rFonts w:hint="eastAsia" w:ascii="宋体" w:hAnsi="宋体" w:eastAsia="宋体" w:cs="宋体"/>
          <w:sz w:val="24"/>
        </w:rPr>
        <w:t>订立地点：</w:t>
      </w:r>
      <w:r>
        <w:rPr>
          <w:rFonts w:hint="eastAsia" w:ascii="宋体" w:hAnsi="宋体" w:eastAsia="宋体" w:cs="宋体"/>
          <w:sz w:val="24"/>
          <w:u w:val="single"/>
        </w:rPr>
        <w:t xml:space="preserve">                                            </w:t>
      </w:r>
    </w:p>
    <w:p>
      <w:pPr>
        <w:spacing w:line="360" w:lineRule="auto"/>
        <w:ind w:firstLine="480"/>
        <w:jc w:val="left"/>
        <w:rPr>
          <w:rFonts w:hint="eastAsia" w:ascii="宋体" w:hAnsi="宋体" w:eastAsia="宋体" w:cs="宋体"/>
          <w:sz w:val="24"/>
        </w:rPr>
      </w:pPr>
      <w:r>
        <w:rPr>
          <w:rFonts w:hint="eastAsia" w:ascii="宋体" w:hAnsi="宋体" w:eastAsia="宋体" w:cs="宋体"/>
          <w:sz w:val="24"/>
        </w:rPr>
        <w:t>发包人和承包人约定本合同自</w:t>
      </w:r>
      <w:r>
        <w:rPr>
          <w:rFonts w:hint="eastAsia" w:ascii="宋体" w:hAnsi="宋体" w:eastAsia="宋体" w:cs="宋体"/>
          <w:sz w:val="24"/>
          <w:u w:val="single"/>
        </w:rPr>
        <w:t xml:space="preserve">                                 </w:t>
      </w:r>
      <w:r>
        <w:rPr>
          <w:rFonts w:hint="eastAsia" w:ascii="宋体" w:hAnsi="宋体" w:eastAsia="宋体" w:cs="宋体"/>
          <w:sz w:val="24"/>
        </w:rPr>
        <w:t>后成立。</w:t>
      </w:r>
    </w:p>
    <w:p>
      <w:pPr>
        <w:spacing w:line="360" w:lineRule="auto"/>
        <w:ind w:firstLine="480"/>
        <w:jc w:val="left"/>
        <w:rPr>
          <w:rFonts w:hint="eastAsia" w:ascii="宋体" w:hAnsi="宋体" w:eastAsia="宋体" w:cs="宋体"/>
          <w:bCs/>
          <w:sz w:val="24"/>
        </w:rPr>
      </w:pPr>
      <w:r>
        <w:rPr>
          <w:rFonts w:hint="eastAsia" w:ascii="宋体" w:hAnsi="宋体" w:eastAsia="宋体" w:cs="宋体"/>
          <w:bCs/>
          <w:sz w:val="24"/>
        </w:rPr>
        <w:t>本合同一式</w:t>
      </w:r>
      <w:r>
        <w:rPr>
          <w:rFonts w:hint="eastAsia" w:ascii="宋体" w:hAnsi="宋体" w:eastAsia="宋体" w:cs="宋体"/>
          <w:bCs/>
          <w:sz w:val="24"/>
          <w:u w:val="single"/>
        </w:rPr>
        <w:t xml:space="preserve">    </w:t>
      </w:r>
      <w:r>
        <w:rPr>
          <w:rFonts w:hint="eastAsia" w:ascii="宋体" w:hAnsi="宋体" w:eastAsia="宋体" w:cs="宋体"/>
          <w:bCs/>
          <w:sz w:val="24"/>
        </w:rPr>
        <w:t>份，均具有同等法律效力，发包人执</w:t>
      </w:r>
      <w:r>
        <w:rPr>
          <w:rFonts w:hint="eastAsia" w:ascii="宋体" w:hAnsi="宋体" w:eastAsia="宋体" w:cs="宋体"/>
          <w:bCs/>
          <w:sz w:val="24"/>
          <w:u w:val="single"/>
        </w:rPr>
        <w:t xml:space="preserve">    </w:t>
      </w:r>
      <w:r>
        <w:rPr>
          <w:rFonts w:hint="eastAsia" w:ascii="宋体" w:hAnsi="宋体" w:eastAsia="宋体" w:cs="宋体"/>
          <w:bCs/>
          <w:sz w:val="24"/>
        </w:rPr>
        <w:t>份，承包人执</w:t>
      </w:r>
      <w:r>
        <w:rPr>
          <w:rFonts w:hint="eastAsia" w:ascii="宋体" w:hAnsi="宋体" w:eastAsia="宋体" w:cs="宋体"/>
          <w:bCs/>
          <w:sz w:val="24"/>
          <w:u w:val="single"/>
        </w:rPr>
        <w:t xml:space="preserve">    </w:t>
      </w:r>
      <w:r>
        <w:rPr>
          <w:rFonts w:hint="eastAsia" w:ascii="宋体" w:hAnsi="宋体" w:eastAsia="宋体" w:cs="宋体"/>
          <w:bCs/>
          <w:sz w:val="24"/>
        </w:rPr>
        <w:t>份。</w:t>
      </w:r>
    </w:p>
    <w:tbl>
      <w:tblPr>
        <w:tblStyle w:val="38"/>
        <w:tblW w:w="8720" w:type="dxa"/>
        <w:tblInd w:w="0" w:type="dxa"/>
        <w:tblLayout w:type="fixed"/>
        <w:tblCellMar>
          <w:top w:w="0" w:type="dxa"/>
          <w:left w:w="108" w:type="dxa"/>
          <w:bottom w:w="0" w:type="dxa"/>
          <w:right w:w="108" w:type="dxa"/>
        </w:tblCellMar>
      </w:tblPr>
      <w:tblGrid>
        <w:gridCol w:w="4360"/>
        <w:gridCol w:w="4360"/>
      </w:tblGrid>
      <w:tr>
        <w:tblPrEx>
          <w:tblLayout w:type="fixed"/>
          <w:tblCellMar>
            <w:top w:w="0" w:type="dxa"/>
            <w:left w:w="108" w:type="dxa"/>
            <w:bottom w:w="0" w:type="dxa"/>
            <w:right w:w="108" w:type="dxa"/>
          </w:tblCellMar>
        </w:tblPrEx>
        <w:tc>
          <w:tcPr>
            <w:tcW w:w="4360" w:type="dxa"/>
            <w:noWrap w:val="0"/>
            <w:vAlign w:val="top"/>
          </w:tcPr>
          <w:p>
            <w:pPr>
              <w:spacing w:line="360" w:lineRule="auto"/>
              <w:jc w:val="left"/>
              <w:rPr>
                <w:rFonts w:hint="eastAsia" w:ascii="宋体" w:hAnsi="宋体" w:eastAsia="宋体" w:cs="宋体"/>
                <w:bCs/>
                <w:sz w:val="24"/>
              </w:rPr>
            </w:pPr>
            <w:r>
              <w:rPr>
                <w:rFonts w:hint="eastAsia" w:ascii="宋体" w:hAnsi="宋体" w:eastAsia="宋体" w:cs="宋体"/>
                <w:b/>
                <w:sz w:val="24"/>
              </w:rPr>
              <w:t>发包人：</w:t>
            </w:r>
            <w:r>
              <w:rPr>
                <w:rFonts w:hint="eastAsia" w:ascii="宋体" w:hAnsi="宋体" w:eastAsia="宋体" w:cs="宋体"/>
                <w:sz w:val="24"/>
              </w:rPr>
              <w:t>(公章)</w:t>
            </w:r>
          </w:p>
        </w:tc>
        <w:tc>
          <w:tcPr>
            <w:tcW w:w="4360" w:type="dxa"/>
            <w:noWrap w:val="0"/>
            <w:vAlign w:val="top"/>
          </w:tcPr>
          <w:p>
            <w:pPr>
              <w:spacing w:line="360" w:lineRule="auto"/>
              <w:jc w:val="left"/>
              <w:rPr>
                <w:rFonts w:hint="eastAsia" w:ascii="宋体" w:hAnsi="宋体" w:eastAsia="宋体" w:cs="宋体"/>
                <w:bCs/>
                <w:sz w:val="24"/>
              </w:rPr>
            </w:pPr>
            <w:r>
              <w:rPr>
                <w:rFonts w:hint="eastAsia" w:ascii="宋体" w:hAnsi="宋体" w:eastAsia="宋体" w:cs="宋体"/>
                <w:b/>
                <w:sz w:val="24"/>
              </w:rPr>
              <w:t>承包人：</w:t>
            </w:r>
            <w:r>
              <w:rPr>
                <w:rFonts w:hint="eastAsia" w:ascii="宋体" w:hAnsi="宋体" w:eastAsia="宋体" w:cs="宋体"/>
                <w:sz w:val="24"/>
              </w:rPr>
              <w:t>(公章)</w:t>
            </w:r>
          </w:p>
        </w:tc>
      </w:tr>
      <w:tr>
        <w:tblPrEx>
          <w:tblLayout w:type="fixed"/>
          <w:tblCellMar>
            <w:top w:w="0" w:type="dxa"/>
            <w:left w:w="108" w:type="dxa"/>
            <w:bottom w:w="0" w:type="dxa"/>
            <w:right w:w="108" w:type="dxa"/>
          </w:tblCellMar>
        </w:tblPrEx>
        <w:trPr>
          <w:trHeight w:val="1267" w:hRule="atLeast"/>
        </w:trPr>
        <w:tc>
          <w:tcPr>
            <w:tcW w:w="4360" w:type="dxa"/>
            <w:noWrap w:val="0"/>
            <w:vAlign w:val="top"/>
          </w:tcPr>
          <w:p>
            <w:pPr>
              <w:spacing w:line="360" w:lineRule="auto"/>
              <w:jc w:val="left"/>
              <w:rPr>
                <w:rFonts w:hint="eastAsia" w:ascii="宋体" w:hAnsi="宋体" w:eastAsia="宋体" w:cs="宋体"/>
                <w:b/>
                <w:sz w:val="24"/>
              </w:rPr>
            </w:pPr>
            <w:r>
              <w:rPr>
                <w:rFonts w:hint="eastAsia" w:ascii="宋体" w:hAnsi="宋体" w:eastAsia="宋体" w:cs="宋体"/>
                <w:b/>
                <w:sz w:val="24"/>
              </w:rPr>
              <w:t>法定代表人或其委托代理人：</w:t>
            </w:r>
          </w:p>
          <w:p>
            <w:pPr>
              <w:spacing w:line="360" w:lineRule="auto"/>
              <w:jc w:val="left"/>
              <w:rPr>
                <w:rFonts w:hint="eastAsia" w:ascii="宋体" w:hAnsi="宋体" w:eastAsia="宋体" w:cs="宋体"/>
                <w:bCs/>
                <w:sz w:val="24"/>
              </w:rPr>
            </w:pPr>
            <w:r>
              <w:rPr>
                <w:rFonts w:hint="eastAsia" w:ascii="宋体" w:hAnsi="宋体" w:eastAsia="宋体" w:cs="宋体"/>
                <w:sz w:val="24"/>
              </w:rPr>
              <w:t>（签字）</w:t>
            </w:r>
          </w:p>
        </w:tc>
        <w:tc>
          <w:tcPr>
            <w:tcW w:w="4360" w:type="dxa"/>
            <w:noWrap w:val="0"/>
            <w:vAlign w:val="top"/>
          </w:tcPr>
          <w:p>
            <w:pPr>
              <w:spacing w:line="360" w:lineRule="auto"/>
              <w:jc w:val="left"/>
              <w:rPr>
                <w:rFonts w:hint="eastAsia" w:ascii="宋体" w:hAnsi="宋体" w:eastAsia="宋体" w:cs="宋体"/>
                <w:b/>
                <w:sz w:val="24"/>
              </w:rPr>
            </w:pPr>
            <w:r>
              <w:rPr>
                <w:rFonts w:hint="eastAsia" w:ascii="宋体" w:hAnsi="宋体" w:eastAsia="宋体" w:cs="宋体"/>
                <w:b/>
                <w:sz w:val="24"/>
              </w:rPr>
              <w:t>法定代表人或其委托代理人：</w:t>
            </w:r>
          </w:p>
          <w:p>
            <w:pPr>
              <w:spacing w:line="360" w:lineRule="auto"/>
              <w:jc w:val="left"/>
              <w:rPr>
                <w:rFonts w:hint="eastAsia" w:ascii="宋体" w:hAnsi="宋体" w:eastAsia="宋体" w:cs="宋体"/>
                <w:bCs/>
                <w:sz w:val="24"/>
              </w:rPr>
            </w:pPr>
            <w:r>
              <w:rPr>
                <w:rFonts w:hint="eastAsia" w:ascii="宋体" w:hAnsi="宋体" w:eastAsia="宋体" w:cs="宋体"/>
                <w:sz w:val="24"/>
              </w:rPr>
              <w:t>（签字）</w:t>
            </w:r>
          </w:p>
        </w:tc>
      </w:tr>
      <w:tr>
        <w:tblPrEx>
          <w:tblLayout w:type="fixed"/>
          <w:tblCellMar>
            <w:top w:w="0" w:type="dxa"/>
            <w:left w:w="108" w:type="dxa"/>
            <w:bottom w:w="0" w:type="dxa"/>
            <w:right w:w="108" w:type="dxa"/>
          </w:tblCellMar>
        </w:tblPrEx>
        <w:tc>
          <w:tcPr>
            <w:tcW w:w="4360" w:type="dxa"/>
            <w:noWrap w:val="0"/>
            <w:vAlign w:val="top"/>
          </w:tcPr>
          <w:p>
            <w:pPr>
              <w:spacing w:line="360" w:lineRule="auto"/>
              <w:jc w:val="left"/>
              <w:rPr>
                <w:rFonts w:hint="eastAsia" w:ascii="宋体" w:hAnsi="宋体" w:eastAsia="宋体" w:cs="宋体"/>
                <w:bCs/>
                <w:sz w:val="24"/>
              </w:rPr>
            </w:pPr>
            <w:r>
              <w:rPr>
                <w:rFonts w:hint="eastAsia" w:ascii="宋体" w:hAnsi="宋体" w:eastAsia="宋体" w:cs="宋体"/>
                <w:b/>
                <w:sz w:val="24"/>
              </w:rPr>
              <w:t>统一社会信用代码：</w:t>
            </w:r>
            <w:r>
              <w:rPr>
                <w:rFonts w:hint="eastAsia" w:ascii="宋体" w:hAnsi="宋体" w:eastAsia="宋体" w:cs="宋体"/>
                <w:b/>
                <w:sz w:val="24"/>
                <w:u w:val="single"/>
              </w:rPr>
              <w:t xml:space="preserve">                 </w:t>
            </w:r>
          </w:p>
        </w:tc>
        <w:tc>
          <w:tcPr>
            <w:tcW w:w="4360" w:type="dxa"/>
            <w:noWrap w:val="0"/>
            <w:vAlign w:val="top"/>
          </w:tcPr>
          <w:p>
            <w:pPr>
              <w:spacing w:line="360" w:lineRule="auto"/>
              <w:jc w:val="left"/>
              <w:rPr>
                <w:rFonts w:hint="eastAsia" w:ascii="宋体" w:hAnsi="宋体" w:eastAsia="宋体" w:cs="宋体"/>
                <w:bCs/>
                <w:sz w:val="24"/>
              </w:rPr>
            </w:pPr>
            <w:r>
              <w:rPr>
                <w:rFonts w:hint="eastAsia" w:ascii="宋体" w:hAnsi="宋体" w:eastAsia="宋体" w:cs="宋体"/>
                <w:b/>
                <w:sz w:val="24"/>
              </w:rPr>
              <w:t>统一社会信用代码：</w:t>
            </w:r>
            <w:r>
              <w:rPr>
                <w:rFonts w:hint="eastAsia" w:ascii="宋体" w:hAnsi="宋体" w:eastAsia="宋体" w:cs="宋体"/>
                <w:b/>
                <w:sz w:val="24"/>
                <w:u w:val="single"/>
              </w:rPr>
              <w:t xml:space="preserve">                 </w:t>
            </w:r>
          </w:p>
        </w:tc>
      </w:tr>
      <w:tr>
        <w:tblPrEx>
          <w:tblLayout w:type="fixed"/>
          <w:tblCellMar>
            <w:top w:w="0" w:type="dxa"/>
            <w:left w:w="108" w:type="dxa"/>
            <w:bottom w:w="0" w:type="dxa"/>
            <w:right w:w="108" w:type="dxa"/>
          </w:tblCellMar>
        </w:tblPrEx>
        <w:tc>
          <w:tcPr>
            <w:tcW w:w="4360" w:type="dxa"/>
            <w:noWrap w:val="0"/>
            <w:vAlign w:val="top"/>
          </w:tcPr>
          <w:p>
            <w:pPr>
              <w:spacing w:line="360" w:lineRule="auto"/>
              <w:jc w:val="left"/>
              <w:rPr>
                <w:rFonts w:hint="eastAsia" w:ascii="宋体" w:hAnsi="宋体" w:eastAsia="宋体" w:cs="宋体"/>
                <w:bCs/>
                <w:sz w:val="24"/>
              </w:rPr>
            </w:pPr>
            <w:r>
              <w:rPr>
                <w:rFonts w:hint="eastAsia" w:ascii="宋体" w:hAnsi="宋体" w:eastAsia="宋体" w:cs="宋体"/>
                <w:b/>
                <w:sz w:val="24"/>
              </w:rPr>
              <w:t>地址：</w:t>
            </w:r>
            <w:r>
              <w:rPr>
                <w:rFonts w:hint="eastAsia" w:ascii="宋体" w:hAnsi="宋体" w:eastAsia="宋体" w:cs="宋体"/>
                <w:b/>
                <w:sz w:val="24"/>
                <w:u w:val="single"/>
              </w:rPr>
              <w:t xml:space="preserve">                             </w:t>
            </w:r>
          </w:p>
        </w:tc>
        <w:tc>
          <w:tcPr>
            <w:tcW w:w="4360" w:type="dxa"/>
            <w:noWrap w:val="0"/>
            <w:vAlign w:val="top"/>
          </w:tcPr>
          <w:p>
            <w:pPr>
              <w:spacing w:line="360" w:lineRule="auto"/>
              <w:jc w:val="left"/>
              <w:rPr>
                <w:rFonts w:hint="eastAsia" w:ascii="宋体" w:hAnsi="宋体" w:eastAsia="宋体" w:cs="宋体"/>
                <w:bCs/>
                <w:sz w:val="24"/>
              </w:rPr>
            </w:pPr>
            <w:r>
              <w:rPr>
                <w:rFonts w:hint="eastAsia" w:ascii="宋体" w:hAnsi="宋体" w:eastAsia="宋体" w:cs="宋体"/>
                <w:b/>
                <w:sz w:val="24"/>
              </w:rPr>
              <w:t>地址：</w:t>
            </w:r>
            <w:r>
              <w:rPr>
                <w:rFonts w:hint="eastAsia" w:ascii="宋体" w:hAnsi="宋体" w:eastAsia="宋体" w:cs="宋体"/>
                <w:b/>
                <w:sz w:val="24"/>
                <w:u w:val="single"/>
              </w:rPr>
              <w:t xml:space="preserve">                             </w:t>
            </w:r>
          </w:p>
        </w:tc>
      </w:tr>
      <w:tr>
        <w:tblPrEx>
          <w:tblLayout w:type="fixed"/>
          <w:tblCellMar>
            <w:top w:w="0" w:type="dxa"/>
            <w:left w:w="108" w:type="dxa"/>
            <w:bottom w:w="0" w:type="dxa"/>
            <w:right w:w="108" w:type="dxa"/>
          </w:tblCellMar>
        </w:tblPrEx>
        <w:tc>
          <w:tcPr>
            <w:tcW w:w="4360" w:type="dxa"/>
            <w:noWrap w:val="0"/>
            <w:vAlign w:val="top"/>
          </w:tcPr>
          <w:p>
            <w:pPr>
              <w:spacing w:line="360" w:lineRule="auto"/>
              <w:jc w:val="left"/>
              <w:rPr>
                <w:rFonts w:hint="eastAsia" w:ascii="宋体" w:hAnsi="宋体" w:eastAsia="宋体" w:cs="宋体"/>
                <w:bCs/>
                <w:sz w:val="24"/>
              </w:rPr>
            </w:pPr>
            <w:r>
              <w:rPr>
                <w:rFonts w:hint="eastAsia" w:ascii="宋体" w:hAnsi="宋体" w:eastAsia="宋体" w:cs="宋体"/>
                <w:b/>
                <w:sz w:val="24"/>
              </w:rPr>
              <w:t>邮政编码：</w:t>
            </w:r>
            <w:r>
              <w:rPr>
                <w:rFonts w:hint="eastAsia" w:ascii="宋体" w:hAnsi="宋体" w:eastAsia="宋体" w:cs="宋体"/>
                <w:b/>
                <w:sz w:val="24"/>
                <w:u w:val="single"/>
              </w:rPr>
              <w:t xml:space="preserve">                         </w:t>
            </w:r>
            <w:r>
              <w:rPr>
                <w:rFonts w:hint="eastAsia" w:ascii="宋体" w:hAnsi="宋体" w:eastAsia="宋体" w:cs="宋体"/>
                <w:b/>
                <w:sz w:val="24"/>
              </w:rPr>
              <w:t xml:space="preserve">   </w:t>
            </w:r>
          </w:p>
        </w:tc>
        <w:tc>
          <w:tcPr>
            <w:tcW w:w="4360" w:type="dxa"/>
            <w:noWrap w:val="0"/>
            <w:vAlign w:val="top"/>
          </w:tcPr>
          <w:p>
            <w:pPr>
              <w:spacing w:line="360" w:lineRule="auto"/>
              <w:jc w:val="left"/>
              <w:rPr>
                <w:rFonts w:hint="eastAsia" w:ascii="宋体" w:hAnsi="宋体" w:eastAsia="宋体" w:cs="宋体"/>
                <w:bCs/>
                <w:sz w:val="24"/>
              </w:rPr>
            </w:pPr>
            <w:r>
              <w:rPr>
                <w:rFonts w:hint="eastAsia" w:ascii="宋体" w:hAnsi="宋体" w:eastAsia="宋体" w:cs="宋体"/>
                <w:b/>
                <w:sz w:val="24"/>
              </w:rPr>
              <w:t>邮政编码：</w:t>
            </w:r>
            <w:r>
              <w:rPr>
                <w:rFonts w:hint="eastAsia" w:ascii="宋体" w:hAnsi="宋体" w:eastAsia="宋体" w:cs="宋体"/>
                <w:b/>
                <w:sz w:val="24"/>
                <w:u w:val="single"/>
              </w:rPr>
              <w:t xml:space="preserve">                         </w:t>
            </w:r>
            <w:r>
              <w:rPr>
                <w:rFonts w:hint="eastAsia" w:ascii="宋体" w:hAnsi="宋体" w:eastAsia="宋体" w:cs="宋体"/>
                <w:b/>
                <w:sz w:val="24"/>
              </w:rPr>
              <w:t xml:space="preserve">   </w:t>
            </w:r>
          </w:p>
        </w:tc>
      </w:tr>
      <w:tr>
        <w:tblPrEx>
          <w:tblLayout w:type="fixed"/>
          <w:tblCellMar>
            <w:top w:w="0" w:type="dxa"/>
            <w:left w:w="108" w:type="dxa"/>
            <w:bottom w:w="0" w:type="dxa"/>
            <w:right w:w="108" w:type="dxa"/>
          </w:tblCellMar>
        </w:tblPrEx>
        <w:tc>
          <w:tcPr>
            <w:tcW w:w="4360" w:type="dxa"/>
            <w:noWrap w:val="0"/>
            <w:vAlign w:val="top"/>
          </w:tcPr>
          <w:p>
            <w:pPr>
              <w:spacing w:line="360" w:lineRule="auto"/>
              <w:jc w:val="left"/>
              <w:rPr>
                <w:rFonts w:hint="eastAsia" w:ascii="宋体" w:hAnsi="宋体" w:eastAsia="宋体" w:cs="宋体"/>
                <w:bCs/>
                <w:sz w:val="24"/>
              </w:rPr>
            </w:pPr>
            <w:r>
              <w:rPr>
                <w:rFonts w:hint="eastAsia" w:ascii="宋体" w:hAnsi="宋体" w:eastAsia="宋体" w:cs="宋体"/>
                <w:b/>
                <w:sz w:val="24"/>
              </w:rPr>
              <w:t>法定代表人：</w:t>
            </w:r>
            <w:r>
              <w:rPr>
                <w:rFonts w:hint="eastAsia" w:ascii="宋体" w:hAnsi="宋体" w:eastAsia="宋体" w:cs="宋体"/>
                <w:b/>
                <w:sz w:val="24"/>
                <w:u w:val="single"/>
              </w:rPr>
              <w:t xml:space="preserve">                       </w:t>
            </w:r>
            <w:r>
              <w:rPr>
                <w:rFonts w:hint="eastAsia" w:ascii="宋体" w:hAnsi="宋体" w:eastAsia="宋体" w:cs="宋体"/>
                <w:b/>
                <w:sz w:val="24"/>
              </w:rPr>
              <w:t xml:space="preserve"> </w:t>
            </w:r>
          </w:p>
        </w:tc>
        <w:tc>
          <w:tcPr>
            <w:tcW w:w="4360" w:type="dxa"/>
            <w:noWrap w:val="0"/>
            <w:vAlign w:val="top"/>
          </w:tcPr>
          <w:p>
            <w:pPr>
              <w:spacing w:line="360" w:lineRule="auto"/>
              <w:jc w:val="left"/>
              <w:rPr>
                <w:rFonts w:hint="eastAsia" w:ascii="宋体" w:hAnsi="宋体" w:eastAsia="宋体" w:cs="宋体"/>
                <w:bCs/>
                <w:sz w:val="24"/>
              </w:rPr>
            </w:pPr>
            <w:r>
              <w:rPr>
                <w:rFonts w:hint="eastAsia" w:ascii="宋体" w:hAnsi="宋体" w:eastAsia="宋体" w:cs="宋体"/>
                <w:b/>
                <w:sz w:val="24"/>
              </w:rPr>
              <w:t>法定代表人：</w:t>
            </w:r>
            <w:r>
              <w:rPr>
                <w:rFonts w:hint="eastAsia" w:ascii="宋体" w:hAnsi="宋体" w:eastAsia="宋体" w:cs="宋体"/>
                <w:b/>
                <w:sz w:val="24"/>
                <w:u w:val="single"/>
              </w:rPr>
              <w:t xml:space="preserve">                       </w:t>
            </w:r>
            <w:r>
              <w:rPr>
                <w:rFonts w:hint="eastAsia" w:ascii="宋体" w:hAnsi="宋体" w:eastAsia="宋体" w:cs="宋体"/>
                <w:b/>
                <w:sz w:val="24"/>
              </w:rPr>
              <w:t xml:space="preserve"> </w:t>
            </w:r>
          </w:p>
        </w:tc>
      </w:tr>
      <w:tr>
        <w:tblPrEx>
          <w:tblLayout w:type="fixed"/>
          <w:tblCellMar>
            <w:top w:w="0" w:type="dxa"/>
            <w:left w:w="108" w:type="dxa"/>
            <w:bottom w:w="0" w:type="dxa"/>
            <w:right w:w="108" w:type="dxa"/>
          </w:tblCellMar>
        </w:tblPrEx>
        <w:tc>
          <w:tcPr>
            <w:tcW w:w="4360" w:type="dxa"/>
            <w:noWrap w:val="0"/>
            <w:vAlign w:val="top"/>
          </w:tcPr>
          <w:p>
            <w:pPr>
              <w:spacing w:line="360" w:lineRule="auto"/>
              <w:jc w:val="left"/>
              <w:rPr>
                <w:rFonts w:hint="eastAsia" w:ascii="宋体" w:hAnsi="宋体" w:eastAsia="宋体" w:cs="宋体"/>
                <w:bCs/>
                <w:sz w:val="24"/>
              </w:rPr>
            </w:pPr>
            <w:r>
              <w:rPr>
                <w:rFonts w:hint="eastAsia" w:ascii="宋体" w:hAnsi="宋体" w:eastAsia="宋体" w:cs="宋体"/>
                <w:b/>
                <w:sz w:val="24"/>
              </w:rPr>
              <w:t>委托代理人：</w:t>
            </w:r>
            <w:r>
              <w:rPr>
                <w:rFonts w:hint="eastAsia" w:ascii="宋体" w:hAnsi="宋体" w:eastAsia="宋体" w:cs="宋体"/>
                <w:b/>
                <w:sz w:val="24"/>
                <w:u w:val="single"/>
              </w:rPr>
              <w:t xml:space="preserve">                        </w:t>
            </w:r>
            <w:r>
              <w:rPr>
                <w:rFonts w:hint="eastAsia" w:ascii="宋体" w:hAnsi="宋体" w:eastAsia="宋体" w:cs="宋体"/>
                <w:b/>
                <w:sz w:val="24"/>
              </w:rPr>
              <w:t xml:space="preserve">  </w:t>
            </w:r>
          </w:p>
        </w:tc>
        <w:tc>
          <w:tcPr>
            <w:tcW w:w="4360" w:type="dxa"/>
            <w:noWrap w:val="0"/>
            <w:vAlign w:val="top"/>
          </w:tcPr>
          <w:p>
            <w:pPr>
              <w:spacing w:line="360" w:lineRule="auto"/>
              <w:jc w:val="left"/>
              <w:rPr>
                <w:rFonts w:hint="eastAsia" w:ascii="宋体" w:hAnsi="宋体" w:eastAsia="宋体" w:cs="宋体"/>
                <w:bCs/>
                <w:sz w:val="24"/>
              </w:rPr>
            </w:pPr>
            <w:r>
              <w:rPr>
                <w:rFonts w:hint="eastAsia" w:ascii="宋体" w:hAnsi="宋体" w:eastAsia="宋体" w:cs="宋体"/>
                <w:b/>
                <w:sz w:val="24"/>
              </w:rPr>
              <w:t>委托代理人：</w:t>
            </w:r>
            <w:r>
              <w:rPr>
                <w:rFonts w:hint="eastAsia" w:ascii="宋体" w:hAnsi="宋体" w:eastAsia="宋体" w:cs="宋体"/>
                <w:b/>
                <w:sz w:val="24"/>
                <w:u w:val="single"/>
              </w:rPr>
              <w:t xml:space="preserve">                       </w:t>
            </w:r>
            <w:r>
              <w:rPr>
                <w:rFonts w:hint="eastAsia" w:ascii="宋体" w:hAnsi="宋体" w:eastAsia="宋体" w:cs="宋体"/>
                <w:b/>
                <w:sz w:val="24"/>
              </w:rPr>
              <w:t xml:space="preserve">  </w:t>
            </w:r>
          </w:p>
        </w:tc>
      </w:tr>
      <w:tr>
        <w:tblPrEx>
          <w:tblLayout w:type="fixed"/>
          <w:tblCellMar>
            <w:top w:w="0" w:type="dxa"/>
            <w:left w:w="108" w:type="dxa"/>
            <w:bottom w:w="0" w:type="dxa"/>
            <w:right w:w="108" w:type="dxa"/>
          </w:tblCellMar>
        </w:tblPrEx>
        <w:tc>
          <w:tcPr>
            <w:tcW w:w="4360" w:type="dxa"/>
            <w:noWrap w:val="0"/>
            <w:vAlign w:val="top"/>
          </w:tcPr>
          <w:p>
            <w:pPr>
              <w:spacing w:line="360" w:lineRule="auto"/>
              <w:jc w:val="left"/>
              <w:rPr>
                <w:rFonts w:hint="eastAsia" w:ascii="宋体" w:hAnsi="宋体" w:eastAsia="宋体" w:cs="宋体"/>
                <w:bCs/>
                <w:sz w:val="24"/>
              </w:rPr>
            </w:pPr>
            <w:r>
              <w:rPr>
                <w:rFonts w:hint="eastAsia" w:ascii="宋体" w:hAnsi="宋体" w:eastAsia="宋体" w:cs="宋体"/>
                <w:b/>
                <w:sz w:val="24"/>
              </w:rPr>
              <w:t>电话：</w:t>
            </w:r>
            <w:r>
              <w:rPr>
                <w:rFonts w:hint="eastAsia" w:ascii="宋体" w:hAnsi="宋体" w:eastAsia="宋体" w:cs="宋体"/>
                <w:b/>
                <w:sz w:val="24"/>
                <w:u w:val="single"/>
              </w:rPr>
              <w:t xml:space="preserve">                             </w:t>
            </w:r>
            <w:r>
              <w:rPr>
                <w:rFonts w:hint="eastAsia" w:ascii="宋体" w:hAnsi="宋体" w:eastAsia="宋体" w:cs="宋体"/>
                <w:b/>
                <w:sz w:val="24"/>
              </w:rPr>
              <w:t xml:space="preserve">   </w:t>
            </w:r>
          </w:p>
        </w:tc>
        <w:tc>
          <w:tcPr>
            <w:tcW w:w="4360" w:type="dxa"/>
            <w:noWrap w:val="0"/>
            <w:vAlign w:val="top"/>
          </w:tcPr>
          <w:p>
            <w:pPr>
              <w:spacing w:line="360" w:lineRule="auto"/>
              <w:jc w:val="left"/>
              <w:rPr>
                <w:rFonts w:hint="eastAsia" w:ascii="宋体" w:hAnsi="宋体" w:eastAsia="宋体" w:cs="宋体"/>
                <w:bCs/>
                <w:sz w:val="24"/>
              </w:rPr>
            </w:pPr>
            <w:r>
              <w:rPr>
                <w:rFonts w:hint="eastAsia" w:ascii="宋体" w:hAnsi="宋体" w:eastAsia="宋体" w:cs="宋体"/>
                <w:b/>
                <w:sz w:val="24"/>
              </w:rPr>
              <w:t>电话：</w:t>
            </w:r>
            <w:r>
              <w:rPr>
                <w:rFonts w:hint="eastAsia" w:ascii="宋体" w:hAnsi="宋体" w:eastAsia="宋体" w:cs="宋体"/>
                <w:b/>
                <w:sz w:val="24"/>
                <w:u w:val="single"/>
              </w:rPr>
              <w:t xml:space="preserve">                             </w:t>
            </w:r>
            <w:r>
              <w:rPr>
                <w:rFonts w:hint="eastAsia" w:ascii="宋体" w:hAnsi="宋体" w:eastAsia="宋体" w:cs="宋体"/>
                <w:b/>
                <w:sz w:val="24"/>
              </w:rPr>
              <w:t xml:space="preserve">   </w:t>
            </w:r>
          </w:p>
        </w:tc>
      </w:tr>
      <w:tr>
        <w:tblPrEx>
          <w:tblLayout w:type="fixed"/>
          <w:tblCellMar>
            <w:top w:w="0" w:type="dxa"/>
            <w:left w:w="108" w:type="dxa"/>
            <w:bottom w:w="0" w:type="dxa"/>
            <w:right w:w="108" w:type="dxa"/>
          </w:tblCellMar>
        </w:tblPrEx>
        <w:tc>
          <w:tcPr>
            <w:tcW w:w="4360" w:type="dxa"/>
            <w:noWrap w:val="0"/>
            <w:vAlign w:val="top"/>
          </w:tcPr>
          <w:p>
            <w:pPr>
              <w:spacing w:line="360" w:lineRule="auto"/>
              <w:jc w:val="left"/>
              <w:rPr>
                <w:rFonts w:hint="eastAsia" w:ascii="宋体" w:hAnsi="宋体" w:eastAsia="宋体" w:cs="宋体"/>
                <w:bCs/>
                <w:sz w:val="24"/>
              </w:rPr>
            </w:pPr>
            <w:r>
              <w:rPr>
                <w:rFonts w:hint="eastAsia" w:ascii="宋体" w:hAnsi="宋体" w:eastAsia="宋体" w:cs="宋体"/>
                <w:b/>
                <w:sz w:val="24"/>
              </w:rPr>
              <w:t>传真：</w:t>
            </w:r>
            <w:r>
              <w:rPr>
                <w:rFonts w:hint="eastAsia" w:ascii="宋体" w:hAnsi="宋体" w:eastAsia="宋体" w:cs="宋体"/>
                <w:b/>
                <w:sz w:val="24"/>
                <w:u w:val="single"/>
              </w:rPr>
              <w:t xml:space="preserve">                             </w:t>
            </w:r>
            <w:r>
              <w:rPr>
                <w:rFonts w:hint="eastAsia" w:ascii="宋体" w:hAnsi="宋体" w:eastAsia="宋体" w:cs="宋体"/>
                <w:b/>
                <w:sz w:val="24"/>
              </w:rPr>
              <w:t xml:space="preserve">   </w:t>
            </w:r>
          </w:p>
        </w:tc>
        <w:tc>
          <w:tcPr>
            <w:tcW w:w="4360" w:type="dxa"/>
            <w:noWrap w:val="0"/>
            <w:vAlign w:val="top"/>
          </w:tcPr>
          <w:p>
            <w:pPr>
              <w:spacing w:line="360" w:lineRule="auto"/>
              <w:jc w:val="left"/>
              <w:rPr>
                <w:rFonts w:hint="eastAsia" w:ascii="宋体" w:hAnsi="宋体" w:eastAsia="宋体" w:cs="宋体"/>
                <w:bCs/>
                <w:sz w:val="24"/>
              </w:rPr>
            </w:pPr>
            <w:r>
              <w:rPr>
                <w:rFonts w:hint="eastAsia" w:ascii="宋体" w:hAnsi="宋体" w:eastAsia="宋体" w:cs="宋体"/>
                <w:b/>
                <w:sz w:val="24"/>
              </w:rPr>
              <w:t>传真：</w:t>
            </w:r>
            <w:r>
              <w:rPr>
                <w:rFonts w:hint="eastAsia" w:ascii="宋体" w:hAnsi="宋体" w:eastAsia="宋体" w:cs="宋体"/>
                <w:b/>
                <w:sz w:val="24"/>
                <w:u w:val="single"/>
              </w:rPr>
              <w:t xml:space="preserve">                             </w:t>
            </w:r>
            <w:r>
              <w:rPr>
                <w:rFonts w:hint="eastAsia" w:ascii="宋体" w:hAnsi="宋体" w:eastAsia="宋体" w:cs="宋体"/>
                <w:b/>
                <w:sz w:val="24"/>
              </w:rPr>
              <w:t xml:space="preserve">   </w:t>
            </w:r>
          </w:p>
        </w:tc>
      </w:tr>
      <w:tr>
        <w:tblPrEx>
          <w:tblLayout w:type="fixed"/>
          <w:tblCellMar>
            <w:top w:w="0" w:type="dxa"/>
            <w:left w:w="108" w:type="dxa"/>
            <w:bottom w:w="0" w:type="dxa"/>
            <w:right w:w="108" w:type="dxa"/>
          </w:tblCellMar>
        </w:tblPrEx>
        <w:tc>
          <w:tcPr>
            <w:tcW w:w="4360" w:type="dxa"/>
            <w:noWrap w:val="0"/>
            <w:vAlign w:val="top"/>
          </w:tcPr>
          <w:p>
            <w:pPr>
              <w:spacing w:line="360" w:lineRule="auto"/>
              <w:jc w:val="left"/>
              <w:rPr>
                <w:rFonts w:hint="eastAsia" w:ascii="宋体" w:hAnsi="宋体" w:eastAsia="宋体" w:cs="宋体"/>
                <w:bCs/>
                <w:sz w:val="24"/>
              </w:rPr>
            </w:pPr>
            <w:r>
              <w:rPr>
                <w:rFonts w:hint="eastAsia" w:ascii="宋体" w:hAnsi="宋体" w:eastAsia="宋体" w:cs="宋体"/>
                <w:b/>
                <w:sz w:val="24"/>
              </w:rPr>
              <w:t>电子信箱：</w:t>
            </w:r>
            <w:r>
              <w:rPr>
                <w:rFonts w:hint="eastAsia" w:ascii="宋体" w:hAnsi="宋体" w:eastAsia="宋体" w:cs="宋体"/>
                <w:b/>
                <w:sz w:val="24"/>
                <w:u w:val="single"/>
              </w:rPr>
              <w:t xml:space="preserve">                         </w:t>
            </w:r>
          </w:p>
        </w:tc>
        <w:tc>
          <w:tcPr>
            <w:tcW w:w="4360" w:type="dxa"/>
            <w:noWrap w:val="0"/>
            <w:vAlign w:val="top"/>
          </w:tcPr>
          <w:p>
            <w:pPr>
              <w:spacing w:line="360" w:lineRule="auto"/>
              <w:jc w:val="left"/>
              <w:rPr>
                <w:rFonts w:hint="eastAsia" w:ascii="宋体" w:hAnsi="宋体" w:eastAsia="宋体" w:cs="宋体"/>
                <w:bCs/>
                <w:sz w:val="24"/>
              </w:rPr>
            </w:pPr>
            <w:r>
              <w:rPr>
                <w:rFonts w:hint="eastAsia" w:ascii="宋体" w:hAnsi="宋体" w:eastAsia="宋体" w:cs="宋体"/>
                <w:b/>
                <w:sz w:val="24"/>
              </w:rPr>
              <w:t>电子信箱：</w:t>
            </w:r>
            <w:r>
              <w:rPr>
                <w:rFonts w:hint="eastAsia" w:ascii="宋体" w:hAnsi="宋体" w:eastAsia="宋体" w:cs="宋体"/>
                <w:b/>
                <w:sz w:val="24"/>
                <w:u w:val="single"/>
              </w:rPr>
              <w:t xml:space="preserve">                         </w:t>
            </w:r>
          </w:p>
        </w:tc>
      </w:tr>
      <w:tr>
        <w:tblPrEx>
          <w:tblLayout w:type="fixed"/>
          <w:tblCellMar>
            <w:top w:w="0" w:type="dxa"/>
            <w:left w:w="108" w:type="dxa"/>
            <w:bottom w:w="0" w:type="dxa"/>
            <w:right w:w="108" w:type="dxa"/>
          </w:tblCellMar>
        </w:tblPrEx>
        <w:tc>
          <w:tcPr>
            <w:tcW w:w="4360" w:type="dxa"/>
            <w:noWrap w:val="0"/>
            <w:vAlign w:val="top"/>
          </w:tcPr>
          <w:p>
            <w:pPr>
              <w:spacing w:line="360" w:lineRule="auto"/>
              <w:jc w:val="left"/>
              <w:rPr>
                <w:rFonts w:hint="eastAsia" w:ascii="宋体" w:hAnsi="宋体" w:eastAsia="宋体" w:cs="宋体"/>
                <w:bCs/>
                <w:sz w:val="24"/>
              </w:rPr>
            </w:pPr>
            <w:r>
              <w:rPr>
                <w:rFonts w:hint="eastAsia" w:ascii="宋体" w:hAnsi="宋体" w:eastAsia="宋体" w:cs="宋体"/>
                <w:b/>
                <w:sz w:val="24"/>
              </w:rPr>
              <w:t>开户银行：</w:t>
            </w:r>
            <w:r>
              <w:rPr>
                <w:rFonts w:hint="eastAsia" w:ascii="宋体" w:hAnsi="宋体" w:eastAsia="宋体" w:cs="宋体"/>
                <w:b/>
                <w:sz w:val="24"/>
                <w:u w:val="single"/>
              </w:rPr>
              <w:t xml:space="preserve">                        </w:t>
            </w:r>
            <w:r>
              <w:rPr>
                <w:rFonts w:hint="eastAsia" w:ascii="宋体" w:hAnsi="宋体" w:eastAsia="宋体" w:cs="宋体"/>
                <w:b/>
                <w:sz w:val="24"/>
              </w:rPr>
              <w:t xml:space="preserve"> </w:t>
            </w:r>
          </w:p>
        </w:tc>
        <w:tc>
          <w:tcPr>
            <w:tcW w:w="4360" w:type="dxa"/>
            <w:noWrap w:val="0"/>
            <w:vAlign w:val="top"/>
          </w:tcPr>
          <w:p>
            <w:pPr>
              <w:spacing w:line="360" w:lineRule="auto"/>
              <w:jc w:val="left"/>
              <w:rPr>
                <w:rFonts w:hint="eastAsia" w:ascii="宋体" w:hAnsi="宋体" w:eastAsia="宋体" w:cs="宋体"/>
                <w:bCs/>
                <w:sz w:val="24"/>
              </w:rPr>
            </w:pPr>
            <w:r>
              <w:rPr>
                <w:rFonts w:hint="eastAsia" w:ascii="宋体" w:hAnsi="宋体" w:eastAsia="宋体" w:cs="宋体"/>
                <w:b/>
                <w:sz w:val="24"/>
              </w:rPr>
              <w:t>开户银行：</w:t>
            </w:r>
            <w:r>
              <w:rPr>
                <w:rFonts w:hint="eastAsia" w:ascii="宋体" w:hAnsi="宋体" w:eastAsia="宋体" w:cs="宋体"/>
                <w:b/>
                <w:sz w:val="24"/>
                <w:u w:val="single"/>
              </w:rPr>
              <w:t xml:space="preserve">                        </w:t>
            </w:r>
            <w:r>
              <w:rPr>
                <w:rFonts w:hint="eastAsia" w:ascii="宋体" w:hAnsi="宋体" w:eastAsia="宋体" w:cs="宋体"/>
                <w:b/>
                <w:sz w:val="24"/>
              </w:rPr>
              <w:t xml:space="preserve"> </w:t>
            </w:r>
          </w:p>
        </w:tc>
      </w:tr>
      <w:tr>
        <w:tblPrEx>
          <w:tblLayout w:type="fixed"/>
          <w:tblCellMar>
            <w:top w:w="0" w:type="dxa"/>
            <w:left w:w="108" w:type="dxa"/>
            <w:bottom w:w="0" w:type="dxa"/>
            <w:right w:w="108" w:type="dxa"/>
          </w:tblCellMar>
        </w:tblPrEx>
        <w:tc>
          <w:tcPr>
            <w:tcW w:w="4360" w:type="dxa"/>
            <w:noWrap w:val="0"/>
            <w:vAlign w:val="top"/>
          </w:tcPr>
          <w:p>
            <w:pPr>
              <w:spacing w:line="360" w:lineRule="auto"/>
              <w:jc w:val="left"/>
              <w:rPr>
                <w:rFonts w:hint="eastAsia" w:ascii="宋体" w:hAnsi="宋体" w:eastAsia="宋体" w:cs="宋体"/>
                <w:bCs/>
                <w:sz w:val="24"/>
              </w:rPr>
            </w:pPr>
            <w:r>
              <w:rPr>
                <w:rFonts w:hint="eastAsia" w:ascii="宋体" w:hAnsi="宋体" w:eastAsia="宋体" w:cs="宋体"/>
                <w:b/>
                <w:sz w:val="24"/>
              </w:rPr>
              <w:t>账号：</w:t>
            </w:r>
            <w:r>
              <w:rPr>
                <w:rFonts w:hint="eastAsia" w:ascii="宋体" w:hAnsi="宋体" w:eastAsia="宋体" w:cs="宋体"/>
                <w:b/>
                <w:sz w:val="24"/>
                <w:u w:val="single"/>
              </w:rPr>
              <w:t xml:space="preserve">                             </w:t>
            </w:r>
          </w:p>
        </w:tc>
        <w:tc>
          <w:tcPr>
            <w:tcW w:w="4360" w:type="dxa"/>
            <w:noWrap w:val="0"/>
            <w:vAlign w:val="top"/>
          </w:tcPr>
          <w:p>
            <w:pPr>
              <w:spacing w:line="360" w:lineRule="auto"/>
              <w:jc w:val="left"/>
              <w:rPr>
                <w:rFonts w:hint="eastAsia" w:ascii="宋体" w:hAnsi="宋体" w:eastAsia="宋体" w:cs="宋体"/>
                <w:bCs/>
                <w:sz w:val="24"/>
              </w:rPr>
            </w:pPr>
            <w:r>
              <w:rPr>
                <w:rFonts w:hint="eastAsia" w:ascii="宋体" w:hAnsi="宋体" w:eastAsia="宋体" w:cs="宋体"/>
                <w:b/>
                <w:sz w:val="24"/>
              </w:rPr>
              <w:t>账号：</w:t>
            </w:r>
            <w:r>
              <w:rPr>
                <w:rFonts w:hint="eastAsia" w:ascii="宋体" w:hAnsi="宋体" w:eastAsia="宋体" w:cs="宋体"/>
                <w:b/>
                <w:sz w:val="24"/>
                <w:u w:val="single"/>
              </w:rPr>
              <w:t xml:space="preserve">                             </w:t>
            </w:r>
          </w:p>
        </w:tc>
      </w:tr>
    </w:tbl>
    <w:p>
      <w:pPr>
        <w:rPr>
          <w:rFonts w:hint="eastAsia"/>
          <w:b/>
          <w:sz w:val="52"/>
          <w:szCs w:val="52"/>
          <w:highlight w:val="none"/>
        </w:rPr>
      </w:pPr>
    </w:p>
    <w:p>
      <w:pPr>
        <w:rPr>
          <w:rFonts w:hint="eastAsia"/>
          <w:b/>
          <w:sz w:val="52"/>
          <w:szCs w:val="52"/>
          <w:highlight w:val="none"/>
        </w:rPr>
      </w:pPr>
      <w:r>
        <w:rPr>
          <w:rFonts w:hint="eastAsia"/>
          <w:b/>
          <w:sz w:val="52"/>
          <w:szCs w:val="52"/>
          <w:highlight w:val="none"/>
        </w:rPr>
        <w:br w:type="page"/>
      </w:r>
    </w:p>
    <w:p>
      <w:pPr>
        <w:pStyle w:val="2"/>
        <w:keepNext w:val="0"/>
        <w:keepLines w:val="0"/>
        <w:widowControl w:val="0"/>
        <w:numPr>
          <w:ilvl w:val="0"/>
          <w:numId w:val="0"/>
        </w:numPr>
        <w:jc w:val="center"/>
        <w:rPr>
          <w:rFonts w:hint="eastAsia" w:ascii="宋体" w:hAnsi="宋体" w:eastAsia="宋体" w:cs="宋体"/>
          <w:sz w:val="32"/>
        </w:rPr>
      </w:pPr>
      <w:bookmarkStart w:id="68" w:name="_Toc35656454"/>
      <w:bookmarkStart w:id="69" w:name="_Toc35656954"/>
      <w:bookmarkStart w:id="70" w:name="_Toc34908886"/>
      <w:bookmarkStart w:id="71" w:name="_Toc305331221"/>
      <w:bookmarkStart w:id="72" w:name="_Toc67418474"/>
      <w:bookmarkStart w:id="73" w:name="_Toc302635687"/>
      <w:bookmarkStart w:id="74" w:name="_Toc12236"/>
      <w:r>
        <w:rPr>
          <w:rFonts w:hint="eastAsia" w:ascii="宋体" w:hAnsi="宋体" w:eastAsia="宋体" w:cs="宋体"/>
          <w:sz w:val="32"/>
        </w:rPr>
        <w:t>第二部分  通用条款</w:t>
      </w:r>
      <w:bookmarkEnd w:id="68"/>
      <w:bookmarkEnd w:id="69"/>
      <w:bookmarkEnd w:id="70"/>
      <w:bookmarkEnd w:id="71"/>
      <w:bookmarkEnd w:id="72"/>
      <w:bookmarkEnd w:id="73"/>
      <w:bookmarkEnd w:id="74"/>
    </w:p>
    <w:p>
      <w:pPr>
        <w:pStyle w:val="2"/>
        <w:keepNext w:val="0"/>
        <w:keepLines w:val="0"/>
        <w:widowControl w:val="0"/>
        <w:tabs>
          <w:tab w:val="left" w:pos="540"/>
          <w:tab w:val="left" w:pos="1620"/>
          <w:tab w:val="left" w:pos="2340"/>
        </w:tabs>
        <w:spacing w:before="240" w:after="120"/>
        <w:ind w:left="178" w:firstLine="0"/>
        <w:rPr>
          <w:rFonts w:hint="eastAsia" w:ascii="宋体" w:hAnsi="宋体" w:eastAsia="宋体" w:cs="宋体"/>
        </w:rPr>
      </w:pPr>
      <w:bookmarkStart w:id="75" w:name="_Toc305331222"/>
      <w:bookmarkStart w:id="76" w:name="_Toc864"/>
      <w:bookmarkStart w:id="77" w:name="_Toc34908888"/>
      <w:bookmarkStart w:id="78" w:name="_Toc35656456"/>
      <w:bookmarkStart w:id="79" w:name="_Toc35656956"/>
      <w:bookmarkStart w:id="80" w:name="_Toc67418475"/>
      <w:bookmarkStart w:id="81" w:name="_Toc302635688"/>
      <w:r>
        <w:rPr>
          <w:rFonts w:hint="eastAsia" w:ascii="宋体" w:cs="宋体"/>
          <w:lang w:val="en-US" w:eastAsia="zh-CN"/>
        </w:rPr>
        <w:t xml:space="preserve">1 </w:t>
      </w:r>
      <w:r>
        <w:rPr>
          <w:rFonts w:hint="eastAsia" w:ascii="宋体" w:hAnsi="宋体" w:eastAsia="宋体" w:cs="宋体"/>
        </w:rPr>
        <w:t>词语定义</w:t>
      </w:r>
      <w:bookmarkEnd w:id="75"/>
      <w:bookmarkEnd w:id="76"/>
      <w:bookmarkEnd w:id="77"/>
      <w:bookmarkEnd w:id="78"/>
      <w:bookmarkEnd w:id="79"/>
      <w:bookmarkEnd w:id="80"/>
      <w:bookmarkEnd w:id="81"/>
    </w:p>
    <w:p>
      <w:pPr>
        <w:tabs>
          <w:tab w:val="left" w:pos="1620"/>
          <w:tab w:val="left" w:pos="2340"/>
        </w:tabs>
        <w:ind w:firstLine="420"/>
        <w:jc w:val="left"/>
        <w:rPr>
          <w:rFonts w:hint="eastAsia" w:ascii="宋体" w:hAnsi="宋体" w:eastAsia="宋体" w:cs="宋体"/>
          <w:kern w:val="0"/>
        </w:rPr>
      </w:pPr>
      <w:bookmarkStart w:id="82" w:name="_Toc34908889"/>
      <w:r>
        <w:rPr>
          <w:rFonts w:hint="eastAsia" w:ascii="宋体" w:hAnsi="宋体" w:eastAsia="宋体" w:cs="宋体"/>
          <w:kern w:val="0"/>
        </w:rPr>
        <w:t>下列词语除</w:t>
      </w:r>
      <w:r>
        <w:rPr>
          <w:rFonts w:hint="eastAsia" w:ascii="宋体" w:hAnsi="宋体" w:eastAsia="宋体" w:cs="宋体"/>
          <w:b/>
          <w:i/>
          <w:kern w:val="0"/>
        </w:rPr>
        <w:t>专用条款</w:t>
      </w:r>
      <w:r>
        <w:rPr>
          <w:rFonts w:hint="eastAsia" w:ascii="宋体" w:hAnsi="宋体" w:eastAsia="宋体" w:cs="宋体"/>
          <w:kern w:val="0"/>
        </w:rPr>
        <w:t>另有约定外，应具有本条所赋予的定义：</w:t>
      </w:r>
      <w:bookmarkEnd w:id="82"/>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83" w:name="_Toc67418476"/>
      <w:bookmarkStart w:id="84" w:name="_Toc302635689"/>
      <w:bookmarkStart w:id="85" w:name="_Toc305331223"/>
      <w:bookmarkStart w:id="86" w:name="_Toc15674"/>
      <w:bookmarkStart w:id="87" w:name="_Toc34908892"/>
      <w:r>
        <w:rPr>
          <w:rFonts w:hint="eastAsia" w:ascii="宋体" w:hAnsi="宋体" w:cs="宋体"/>
          <w:sz w:val="24"/>
          <w:szCs w:val="24"/>
          <w:lang w:val="en-US" w:eastAsia="zh-CN"/>
        </w:rPr>
        <w:t xml:space="preserve">1.1 </w:t>
      </w:r>
      <w:r>
        <w:rPr>
          <w:rFonts w:hint="eastAsia" w:ascii="宋体" w:hAnsi="宋体" w:eastAsia="宋体" w:cs="宋体"/>
          <w:sz w:val="24"/>
          <w:szCs w:val="24"/>
        </w:rPr>
        <w:t>合同主体与参与各方</w:t>
      </w:r>
      <w:bookmarkEnd w:id="83"/>
      <w:bookmarkEnd w:id="84"/>
      <w:bookmarkEnd w:id="85"/>
      <w:bookmarkEnd w:id="86"/>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⑴发包人：指本合同指明执行本工程投资或负责管理本工程的、具有相应工程发包主体资格和支付工程价款能力的当事人，以及取得该资格和能力的合法继承人。</w:t>
      </w:r>
      <w:bookmarkEnd w:id="87"/>
      <w:r>
        <w:rPr>
          <w:rFonts w:hint="eastAsia" w:ascii="宋体" w:hAnsi="宋体" w:eastAsia="宋体" w:cs="宋体"/>
          <w:kern w:val="0"/>
        </w:rPr>
        <w:t xml:space="preserve"> </w:t>
      </w:r>
    </w:p>
    <w:p>
      <w:pPr>
        <w:tabs>
          <w:tab w:val="left" w:pos="1620"/>
          <w:tab w:val="left" w:pos="2340"/>
        </w:tabs>
        <w:spacing w:after="156"/>
        <w:ind w:left="899"/>
        <w:jc w:val="left"/>
        <w:rPr>
          <w:rFonts w:hint="eastAsia" w:ascii="宋体" w:hAnsi="宋体" w:eastAsia="宋体" w:cs="宋体"/>
          <w:kern w:val="0"/>
        </w:rPr>
      </w:pPr>
      <w:bookmarkStart w:id="88" w:name="_Toc34908893"/>
      <w:r>
        <w:rPr>
          <w:rFonts w:hint="eastAsia" w:ascii="宋体" w:hAnsi="宋体" w:eastAsia="宋体" w:cs="宋体"/>
          <w:kern w:val="0"/>
        </w:rPr>
        <w:t>⑵发包人代表：指由发包人任命的行使发包人在本合同约定的权利和义务的代表。</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⑶承包人：指其投标文件已为发包人所接受，并与发包人签订了合同协议书承建本工程、具有相应工程施工资质的当事人</w:t>
      </w:r>
      <w:bookmarkEnd w:id="88"/>
      <w:r>
        <w:rPr>
          <w:rFonts w:hint="eastAsia" w:ascii="宋体" w:hAnsi="宋体" w:eastAsia="宋体" w:cs="宋体"/>
          <w:kern w:val="0"/>
        </w:rPr>
        <w:t>，以及取得该资格的合法继承人。</w:t>
      </w:r>
    </w:p>
    <w:p>
      <w:pPr>
        <w:tabs>
          <w:tab w:val="left" w:pos="1620"/>
          <w:tab w:val="left" w:pos="2340"/>
        </w:tabs>
        <w:spacing w:after="156"/>
        <w:ind w:left="899"/>
        <w:jc w:val="left"/>
        <w:rPr>
          <w:rFonts w:hint="eastAsia" w:ascii="宋体" w:hAnsi="宋体" w:eastAsia="宋体" w:cs="宋体"/>
          <w:kern w:val="0"/>
        </w:rPr>
      </w:pPr>
      <w:bookmarkStart w:id="89" w:name="_Toc34908895"/>
      <w:r>
        <w:rPr>
          <w:rFonts w:hint="eastAsia" w:ascii="宋体" w:hAnsi="宋体" w:eastAsia="宋体" w:cs="宋体"/>
          <w:kern w:val="0"/>
        </w:rPr>
        <w:t>⑷项目经理：指由承包人任命常驻现场、并取得相应资格的工程管理人员，代表承包人履行本合同约定的权利和义务。</w:t>
      </w:r>
      <w:bookmarkEnd w:id="89"/>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⑸专业工程承包人：指与发包人签订专业工程施工合同并承建该合同指定专业工程的、具有相应工程施工资质的当事人，以及取得该当事人资格的合法继承人。</w:t>
      </w:r>
    </w:p>
    <w:p>
      <w:pPr>
        <w:tabs>
          <w:tab w:val="left" w:pos="1620"/>
          <w:tab w:val="left" w:pos="2340"/>
        </w:tabs>
        <w:spacing w:after="156"/>
        <w:ind w:left="899"/>
        <w:jc w:val="left"/>
        <w:rPr>
          <w:rFonts w:hint="eastAsia" w:ascii="宋体" w:hAnsi="宋体" w:eastAsia="宋体" w:cs="宋体"/>
          <w:kern w:val="0"/>
        </w:rPr>
      </w:pPr>
      <w:bookmarkStart w:id="90" w:name="_Toc34908894"/>
      <w:r>
        <w:rPr>
          <w:rFonts w:hint="eastAsia" w:ascii="宋体" w:hAnsi="宋体" w:eastAsia="宋体" w:cs="宋体"/>
          <w:kern w:val="0"/>
        </w:rPr>
        <w:t>⑹分包人：指经发包人认可并与承包人签订了分包合同承建本工程部分工程的、具有相应工程施工资质的当事人，以及取得该当事人资格的合法继承人。</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⑺监理人：指由发包人委托的负责本工程监理工作并取得相应工程监理资质的当事人，以及取得该当事人资格的合法继承人。</w:t>
      </w:r>
      <w:bookmarkEnd w:id="90"/>
    </w:p>
    <w:p>
      <w:pPr>
        <w:tabs>
          <w:tab w:val="left" w:pos="1620"/>
          <w:tab w:val="left" w:pos="2340"/>
        </w:tabs>
        <w:spacing w:after="156"/>
        <w:ind w:left="899"/>
        <w:jc w:val="left"/>
        <w:rPr>
          <w:rFonts w:hint="eastAsia" w:ascii="宋体" w:hAnsi="宋体" w:eastAsia="宋体" w:cs="宋体"/>
          <w:kern w:val="0"/>
        </w:rPr>
      </w:pPr>
      <w:bookmarkStart w:id="91" w:name="_Toc34908897"/>
      <w:r>
        <w:rPr>
          <w:rFonts w:hint="eastAsia" w:ascii="宋体" w:hAnsi="宋体" w:eastAsia="宋体" w:cs="宋体"/>
          <w:kern w:val="0"/>
        </w:rPr>
        <w:t>⑻总监理工程师：指监理人指派常驻现场履行监理人职责的代表。</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⑼设计人：指发包人委托的负责本工程设计并取得相应工程设计资质的当事人，以及取得该当事人资格的合法继承人。</w:t>
      </w:r>
      <w:bookmarkEnd w:id="91"/>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92" w:name="_Toc22937"/>
      <w:bookmarkStart w:id="93" w:name="_Toc67418477"/>
      <w:bookmarkStart w:id="94" w:name="_Toc305331224"/>
      <w:bookmarkStart w:id="95" w:name="_Toc302635690"/>
      <w:bookmarkStart w:id="96" w:name="_Toc34908898"/>
      <w:r>
        <w:rPr>
          <w:rFonts w:hint="eastAsia" w:ascii="宋体" w:hAnsi="宋体" w:cs="宋体"/>
          <w:sz w:val="24"/>
          <w:szCs w:val="24"/>
          <w:lang w:val="en-US" w:eastAsia="zh-CN"/>
        </w:rPr>
        <w:t xml:space="preserve">1.2 </w:t>
      </w:r>
      <w:r>
        <w:rPr>
          <w:rFonts w:hint="eastAsia" w:ascii="宋体" w:hAnsi="宋体" w:eastAsia="宋体" w:cs="宋体"/>
          <w:sz w:val="24"/>
          <w:szCs w:val="24"/>
        </w:rPr>
        <w:t>合同文件</w:t>
      </w:r>
      <w:bookmarkEnd w:id="92"/>
      <w:bookmarkEnd w:id="93"/>
      <w:bookmarkEnd w:id="94"/>
      <w:bookmarkEnd w:id="95"/>
    </w:p>
    <w:p>
      <w:pPr>
        <w:tabs>
          <w:tab w:val="left" w:pos="1620"/>
          <w:tab w:val="left" w:pos="2340"/>
        </w:tabs>
        <w:spacing w:after="156"/>
        <w:ind w:left="899"/>
        <w:jc w:val="left"/>
        <w:rPr>
          <w:rFonts w:hint="eastAsia" w:ascii="宋体" w:hAnsi="宋体" w:eastAsia="宋体" w:cs="宋体"/>
          <w:kern w:val="0"/>
        </w:rPr>
      </w:pPr>
      <w:bookmarkStart w:id="97" w:name="_Toc34908916"/>
      <w:r>
        <w:rPr>
          <w:rFonts w:hint="eastAsia" w:ascii="宋体" w:hAnsi="宋体" w:eastAsia="宋体" w:cs="宋体"/>
          <w:kern w:val="0"/>
        </w:rPr>
        <w:t>⑴合同：是指由承包人进行本工程施工并提供工程保修服务，发包人支付价款，约定双方权利义务的协议。合同由通用条款第2.1款所列的文件组成。</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⑵图纸：指由发包人按本合同约定向承包人提供的全部设计图纸、计算书和性质类似的技术资料，或由承包人提交并经监理人批准的所有图纸、计算书和其他性质类似的技术资料。</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⑶标准、规范：指本合同中约定的适用于本工程的技术标准、规范及其修改或补充。</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⑷</w:t>
      </w:r>
      <w:bookmarkEnd w:id="97"/>
      <w:r>
        <w:rPr>
          <w:rFonts w:hint="eastAsia" w:ascii="宋体" w:hAnsi="宋体" w:eastAsia="宋体" w:cs="宋体"/>
          <w:kern w:val="0"/>
        </w:rPr>
        <w:t>工程量清单：指根据图纸、技术规范，按照《建设工程工程量清单计价规范》有关格式、工程量计算规则等列出的项目名称和相应数量等的明细清单。载明分部分项工程项目、措施项目、其他项目的名称和相应数量以及规费、税金项目等内容。</w:t>
      </w:r>
    </w:p>
    <w:p>
      <w:pPr>
        <w:tabs>
          <w:tab w:val="left" w:pos="1620"/>
          <w:tab w:val="left" w:pos="2340"/>
        </w:tabs>
        <w:spacing w:after="156"/>
        <w:ind w:left="899"/>
        <w:jc w:val="left"/>
        <w:rPr>
          <w:rFonts w:hint="eastAsia" w:ascii="宋体" w:hAnsi="宋体" w:eastAsia="宋体" w:cs="宋体"/>
          <w:kern w:val="0"/>
        </w:rPr>
      </w:pPr>
      <w:bookmarkStart w:id="98" w:name="_Toc34908917"/>
      <w:r>
        <w:rPr>
          <w:rFonts w:hint="eastAsia" w:ascii="宋体" w:hAnsi="宋体" w:eastAsia="宋体" w:cs="宋体"/>
          <w:kern w:val="0"/>
        </w:rPr>
        <w:t>⑸</w:t>
      </w:r>
      <w:bookmarkEnd w:id="98"/>
      <w:r>
        <w:rPr>
          <w:rFonts w:hint="eastAsia" w:ascii="宋体" w:hAnsi="宋体" w:eastAsia="宋体" w:cs="宋体"/>
          <w:kern w:val="0"/>
        </w:rPr>
        <w:t>书面形式：指合同、协议、信件和数据电文(包括电报、电传、传真、电子数据交换和电子邮件)等可以有形地表现所载内容的形式。</w:t>
      </w:r>
    </w:p>
    <w:p>
      <w:pPr>
        <w:tabs>
          <w:tab w:val="left" w:pos="1620"/>
          <w:tab w:val="left" w:pos="2340"/>
        </w:tabs>
        <w:spacing w:after="156"/>
        <w:ind w:left="899"/>
        <w:jc w:val="left"/>
        <w:rPr>
          <w:rFonts w:hint="eastAsia" w:ascii="宋体" w:hAnsi="宋体" w:eastAsia="宋体" w:cs="宋体"/>
          <w:kern w:val="0"/>
        </w:rPr>
      </w:pPr>
      <w:bookmarkStart w:id="99" w:name="_Toc34908918"/>
      <w:r>
        <w:rPr>
          <w:rFonts w:hint="eastAsia" w:ascii="宋体" w:hAnsi="宋体" w:eastAsia="宋体" w:cs="宋体"/>
          <w:kern w:val="0"/>
        </w:rPr>
        <w:t>⑹</w:t>
      </w:r>
      <w:bookmarkEnd w:id="99"/>
      <w:r>
        <w:rPr>
          <w:rFonts w:hint="eastAsia" w:ascii="宋体" w:hAnsi="宋体" w:eastAsia="宋体" w:cs="宋体"/>
          <w:kern w:val="0"/>
        </w:rPr>
        <w:t>其他合同文件：是指经承发包双方约定的与工程施工有关的具有合同约束力的文件或书面协议。承发包双方可以在</w:t>
      </w:r>
      <w:r>
        <w:rPr>
          <w:rFonts w:hint="eastAsia" w:ascii="宋体" w:hAnsi="宋体" w:eastAsia="宋体" w:cs="宋体"/>
          <w:b/>
          <w:i/>
          <w:kern w:val="0"/>
        </w:rPr>
        <w:t>专用条款</w:t>
      </w:r>
      <w:r>
        <w:rPr>
          <w:rFonts w:hint="eastAsia" w:ascii="宋体" w:hAnsi="宋体" w:eastAsia="宋体" w:cs="宋体"/>
          <w:kern w:val="0"/>
        </w:rPr>
        <w:t>中进行约定。</w:t>
      </w:r>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100" w:name="_Toc305331225"/>
      <w:bookmarkStart w:id="101" w:name="_Toc67418478"/>
      <w:bookmarkStart w:id="102" w:name="_Toc12197"/>
      <w:bookmarkStart w:id="103" w:name="_Toc302635691"/>
      <w:r>
        <w:rPr>
          <w:rFonts w:hint="eastAsia" w:ascii="宋体" w:hAnsi="宋体" w:cs="宋体"/>
          <w:sz w:val="24"/>
          <w:szCs w:val="24"/>
          <w:lang w:val="en-US" w:eastAsia="zh-CN"/>
        </w:rPr>
        <w:t xml:space="preserve">1.3 </w:t>
      </w:r>
      <w:r>
        <w:rPr>
          <w:rFonts w:hint="eastAsia" w:ascii="宋体" w:hAnsi="宋体" w:eastAsia="宋体" w:cs="宋体"/>
          <w:sz w:val="24"/>
          <w:szCs w:val="24"/>
        </w:rPr>
        <w:t>工程、现场与装备</w:t>
      </w:r>
      <w:bookmarkEnd w:id="100"/>
      <w:bookmarkEnd w:id="101"/>
      <w:bookmarkEnd w:id="102"/>
      <w:bookmarkEnd w:id="103"/>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⑴永久工程：指根据本合同约定应实施的永久性工程，包括1.3⑻款所指的设备。</w:t>
      </w:r>
      <w:bookmarkEnd w:id="96"/>
    </w:p>
    <w:p>
      <w:pPr>
        <w:tabs>
          <w:tab w:val="left" w:pos="1620"/>
          <w:tab w:val="left" w:pos="2340"/>
        </w:tabs>
        <w:spacing w:after="156"/>
        <w:ind w:left="899"/>
        <w:jc w:val="left"/>
        <w:rPr>
          <w:rFonts w:hint="eastAsia" w:ascii="宋体" w:hAnsi="宋体" w:eastAsia="宋体" w:cs="宋体"/>
          <w:kern w:val="0"/>
        </w:rPr>
      </w:pPr>
      <w:bookmarkStart w:id="104" w:name="_Toc34908899"/>
      <w:r>
        <w:rPr>
          <w:rFonts w:hint="eastAsia" w:ascii="宋体" w:hAnsi="宋体" w:eastAsia="宋体" w:cs="宋体"/>
          <w:kern w:val="0"/>
        </w:rPr>
        <w:t>⑵临时工程：指实施和完成本工程及其缺陷的修复过程中所需的各种临时性工程，但不包括1.3⑼款所指的承包人装备。</w:t>
      </w:r>
      <w:bookmarkEnd w:id="104"/>
    </w:p>
    <w:p>
      <w:pPr>
        <w:tabs>
          <w:tab w:val="left" w:pos="1620"/>
          <w:tab w:val="left" w:pos="2340"/>
        </w:tabs>
        <w:spacing w:after="156"/>
        <w:ind w:left="899"/>
        <w:jc w:val="left"/>
        <w:rPr>
          <w:rFonts w:hint="eastAsia" w:ascii="宋体" w:hAnsi="宋体" w:eastAsia="宋体" w:cs="宋体"/>
          <w:kern w:val="0"/>
        </w:rPr>
      </w:pPr>
      <w:bookmarkStart w:id="105" w:name="_Toc34908900"/>
      <w:r>
        <w:rPr>
          <w:rFonts w:hint="eastAsia" w:ascii="宋体" w:hAnsi="宋体" w:eastAsia="宋体" w:cs="宋体"/>
          <w:kern w:val="0"/>
        </w:rPr>
        <w:t>⑶工程：指永久工程和临时工程，或视具体情况指两者中的任何一个。</w:t>
      </w:r>
      <w:bookmarkEnd w:id="105"/>
    </w:p>
    <w:p>
      <w:pPr>
        <w:tabs>
          <w:tab w:val="left" w:pos="1620"/>
          <w:tab w:val="left" w:pos="2340"/>
        </w:tabs>
        <w:spacing w:after="156"/>
        <w:ind w:left="899"/>
        <w:jc w:val="left"/>
        <w:rPr>
          <w:rFonts w:hint="eastAsia" w:ascii="宋体" w:hAnsi="宋体" w:eastAsia="宋体" w:cs="宋体"/>
          <w:kern w:val="0"/>
        </w:rPr>
      </w:pPr>
      <w:bookmarkStart w:id="106" w:name="_Toc34908901"/>
      <w:r>
        <w:rPr>
          <w:rFonts w:hint="eastAsia" w:ascii="宋体" w:hAnsi="宋体" w:eastAsia="宋体" w:cs="宋体"/>
          <w:kern w:val="0"/>
        </w:rPr>
        <w:t>⑷单项工程：指本工程范围内、合同约定或能单独发挥效益的某一独立工程。</w:t>
      </w:r>
      <w:bookmarkEnd w:id="106"/>
    </w:p>
    <w:p>
      <w:pPr>
        <w:tabs>
          <w:tab w:val="left" w:pos="1620"/>
          <w:tab w:val="left" w:pos="2340"/>
        </w:tabs>
        <w:spacing w:after="156"/>
        <w:ind w:left="899"/>
        <w:jc w:val="left"/>
        <w:rPr>
          <w:rFonts w:hint="eastAsia" w:ascii="宋体" w:hAnsi="宋体" w:eastAsia="宋体" w:cs="宋体"/>
          <w:kern w:val="0"/>
        </w:rPr>
      </w:pPr>
      <w:bookmarkStart w:id="107" w:name="_Toc34908905"/>
      <w:bookmarkStart w:id="108" w:name="_Toc34908902"/>
      <w:r>
        <w:rPr>
          <w:rFonts w:hint="eastAsia" w:ascii="宋体" w:hAnsi="宋体" w:eastAsia="宋体" w:cs="宋体"/>
          <w:kern w:val="0"/>
        </w:rPr>
        <w:t>⑸现场：指由发包人提供的用于本工程施工的场地以及发包人在本合同中具体指定构成现场一部分的其他场所。</w:t>
      </w:r>
      <w:bookmarkEnd w:id="107"/>
    </w:p>
    <w:p>
      <w:pPr>
        <w:tabs>
          <w:tab w:val="left" w:pos="1620"/>
          <w:tab w:val="left" w:pos="2340"/>
        </w:tabs>
        <w:spacing w:after="156"/>
        <w:ind w:left="899"/>
        <w:jc w:val="left"/>
        <w:rPr>
          <w:rFonts w:hint="eastAsia" w:ascii="宋体" w:hAnsi="宋体" w:eastAsia="宋体" w:cs="宋体"/>
          <w:kern w:val="0"/>
        </w:rPr>
      </w:pPr>
      <w:bookmarkStart w:id="109" w:name="_Toc34908906"/>
      <w:r>
        <w:rPr>
          <w:rFonts w:hint="eastAsia" w:ascii="宋体" w:hAnsi="宋体" w:eastAsia="宋体" w:cs="宋体"/>
          <w:kern w:val="0"/>
        </w:rPr>
        <w:t>⑹永久占地：</w:t>
      </w:r>
      <w:bookmarkEnd w:id="109"/>
      <w:r>
        <w:rPr>
          <w:rFonts w:hint="eastAsia" w:ascii="宋体" w:hAnsi="宋体" w:eastAsia="宋体" w:cs="宋体"/>
          <w:kern w:val="0"/>
        </w:rPr>
        <w:t>指为实施本工程而需要的长期占用的土地，具体期限以政府批准的土地使用年限为准。</w:t>
      </w:r>
    </w:p>
    <w:p>
      <w:pPr>
        <w:tabs>
          <w:tab w:val="left" w:pos="1620"/>
          <w:tab w:val="left" w:pos="2340"/>
        </w:tabs>
        <w:spacing w:after="156"/>
        <w:ind w:left="899"/>
        <w:jc w:val="left"/>
        <w:rPr>
          <w:rFonts w:hint="eastAsia" w:ascii="宋体" w:hAnsi="宋体" w:eastAsia="宋体" w:cs="宋体"/>
          <w:kern w:val="0"/>
        </w:rPr>
      </w:pPr>
      <w:bookmarkStart w:id="110" w:name="_Toc34908907"/>
      <w:r>
        <w:rPr>
          <w:rFonts w:hint="eastAsia" w:ascii="宋体" w:hAnsi="宋体" w:eastAsia="宋体" w:cs="宋体"/>
          <w:kern w:val="0"/>
        </w:rPr>
        <w:t>⑺临时占地：指为实施本工程而需要的一切临时占用土地，包括施工所用的临时支线、便道、便桥和现场的临时出入通道，以及生产、生活等临时设施用地等。</w:t>
      </w:r>
      <w:bookmarkEnd w:id="110"/>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⑻设备：指预定构成或构成永久工程一部分的机械、仪器、装置。</w:t>
      </w:r>
      <w:bookmarkEnd w:id="108"/>
    </w:p>
    <w:p>
      <w:pPr>
        <w:tabs>
          <w:tab w:val="left" w:pos="1620"/>
          <w:tab w:val="left" w:pos="2340"/>
        </w:tabs>
        <w:spacing w:after="156"/>
        <w:ind w:left="899"/>
        <w:jc w:val="left"/>
        <w:rPr>
          <w:rFonts w:hint="eastAsia" w:ascii="宋体" w:hAnsi="宋体" w:eastAsia="宋体" w:cs="宋体"/>
          <w:kern w:val="0"/>
        </w:rPr>
      </w:pPr>
      <w:bookmarkStart w:id="111" w:name="_Toc34908903"/>
      <w:r>
        <w:rPr>
          <w:rFonts w:hint="eastAsia" w:ascii="宋体" w:hAnsi="宋体" w:eastAsia="宋体" w:cs="宋体"/>
          <w:kern w:val="0"/>
        </w:rPr>
        <w:t>⑼承包人装备：指属承包人所有(或租赁)的，为实施和完成本工程及其缺陷修复所需的机械、器具或物品。</w:t>
      </w:r>
      <w:bookmarkEnd w:id="111"/>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112" w:name="_Toc67418479"/>
      <w:bookmarkStart w:id="113" w:name="_Toc305331226"/>
      <w:bookmarkStart w:id="114" w:name="_Toc20795"/>
      <w:bookmarkStart w:id="115" w:name="_Toc302635692"/>
      <w:bookmarkStart w:id="116" w:name="_Toc34908908"/>
      <w:r>
        <w:rPr>
          <w:rFonts w:hint="eastAsia" w:ascii="宋体" w:hAnsi="宋体" w:cs="宋体"/>
          <w:sz w:val="24"/>
          <w:szCs w:val="24"/>
          <w:lang w:val="en-US" w:eastAsia="zh-CN"/>
        </w:rPr>
        <w:t xml:space="preserve">1.4 </w:t>
      </w:r>
      <w:r>
        <w:rPr>
          <w:rFonts w:hint="eastAsia" w:ascii="宋体" w:hAnsi="宋体" w:eastAsia="宋体" w:cs="宋体"/>
          <w:sz w:val="24"/>
          <w:szCs w:val="24"/>
        </w:rPr>
        <w:t>合同价格与费用</w:t>
      </w:r>
      <w:bookmarkEnd w:id="112"/>
      <w:bookmarkEnd w:id="113"/>
      <w:bookmarkEnd w:id="114"/>
      <w:bookmarkEnd w:id="115"/>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⑴签约合同价：指在中标通知书和合同协议书中写明的，承包人按合同约定实施和完成本工程及其缺陷的修复应得到的价款。</w:t>
      </w:r>
      <w:bookmarkEnd w:id="116"/>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⑵合同价格：指发包人用于支付承包人按照合同约定完成承包范围内全部工作的金额，包括合同履行过程中按合同约定发生的价格变化。</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⑶费用：指为履行合同所发生的或将要发生的所有必需的开支，包括管理费和应分摊的其他费用，但不包括利润。</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⑷计日工：承包人在本合同履行过程中依发包人要求所完成的施工图纸以外的零星项目或工作。</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⑸现场签证：发包人和承包人双方对其在本合同履行过程中涉及的相关责任事件所作的签认证明。</w:t>
      </w:r>
    </w:p>
    <w:p>
      <w:pPr>
        <w:tabs>
          <w:tab w:val="left" w:pos="1620"/>
          <w:tab w:val="left" w:pos="2340"/>
        </w:tabs>
        <w:spacing w:after="156"/>
        <w:ind w:left="899"/>
        <w:jc w:val="left"/>
        <w:rPr>
          <w:rFonts w:hint="eastAsia" w:ascii="宋体" w:hAnsi="宋体" w:eastAsia="宋体" w:cs="宋体"/>
          <w:kern w:val="0"/>
        </w:rPr>
      </w:pPr>
      <w:bookmarkStart w:id="117" w:name="_Toc34908909"/>
      <w:r>
        <w:rPr>
          <w:rFonts w:hint="eastAsia" w:ascii="宋体" w:hAnsi="宋体" w:eastAsia="宋体" w:cs="宋体"/>
          <w:kern w:val="0"/>
        </w:rPr>
        <w:t>⑹</w:t>
      </w:r>
      <w:bookmarkEnd w:id="117"/>
      <w:r>
        <w:rPr>
          <w:rFonts w:hint="eastAsia" w:ascii="宋体" w:hAnsi="宋体" w:eastAsia="宋体" w:cs="宋体"/>
          <w:kern w:val="0"/>
        </w:rPr>
        <w:t>质量保证金：指承包人用于保证其在缺陷责任期内履行缺陷修补义务的担保。</w:t>
      </w:r>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118" w:name="_Toc67418480"/>
      <w:bookmarkStart w:id="119" w:name="_Toc305331227"/>
      <w:bookmarkStart w:id="120" w:name="_Toc302635693"/>
      <w:bookmarkStart w:id="121" w:name="_Toc20923"/>
      <w:bookmarkStart w:id="122" w:name="_Toc34908910"/>
      <w:r>
        <w:rPr>
          <w:rFonts w:hint="eastAsia" w:ascii="宋体" w:hAnsi="宋体" w:cs="宋体"/>
          <w:sz w:val="24"/>
          <w:szCs w:val="24"/>
          <w:lang w:val="en-US" w:eastAsia="zh-CN"/>
        </w:rPr>
        <w:t xml:space="preserve">1.5 </w:t>
      </w:r>
      <w:r>
        <w:rPr>
          <w:rFonts w:hint="eastAsia" w:ascii="宋体" w:hAnsi="宋体" w:eastAsia="宋体" w:cs="宋体"/>
          <w:sz w:val="24"/>
          <w:szCs w:val="24"/>
        </w:rPr>
        <w:t>施工工期</w:t>
      </w:r>
      <w:bookmarkEnd w:id="118"/>
      <w:bookmarkEnd w:id="119"/>
      <w:bookmarkEnd w:id="120"/>
      <w:bookmarkEnd w:id="121"/>
    </w:p>
    <w:bookmarkEnd w:id="122"/>
    <w:p>
      <w:pPr>
        <w:tabs>
          <w:tab w:val="left" w:pos="1620"/>
          <w:tab w:val="left" w:pos="2340"/>
        </w:tabs>
        <w:spacing w:after="156"/>
        <w:ind w:left="899"/>
        <w:jc w:val="left"/>
        <w:rPr>
          <w:rFonts w:hint="eastAsia" w:ascii="宋体" w:hAnsi="宋体" w:eastAsia="宋体" w:cs="宋体"/>
          <w:kern w:val="0"/>
        </w:rPr>
      </w:pPr>
      <w:bookmarkStart w:id="123" w:name="_Toc34908911"/>
      <w:r>
        <w:rPr>
          <w:rFonts w:hint="eastAsia" w:ascii="宋体" w:hAnsi="宋体" w:eastAsia="宋体" w:cs="宋体"/>
          <w:kern w:val="0"/>
        </w:rPr>
        <w:t>⑴计划开工日期：指发包人和承包人在本合同协议书中约定，承包人开始本工程施工的绝对或相对的日期。</w:t>
      </w:r>
      <w:bookmarkEnd w:id="123"/>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w:t>
      </w:r>
      <w:bookmarkStart w:id="124" w:name="_Toc34908912"/>
      <w:r>
        <w:rPr>
          <w:rFonts w:hint="eastAsia" w:ascii="宋体" w:hAnsi="宋体" w:eastAsia="宋体" w:cs="宋体"/>
          <w:kern w:val="0"/>
        </w:rPr>
        <w:t>计划竣工日期：指发包人和承包人在本合同协议书中约定，承包人完成本工程施工的绝对或相对的日期。</w:t>
      </w:r>
      <w:bookmarkEnd w:id="124"/>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w:t>
      </w:r>
      <w:bookmarkStart w:id="125" w:name="_Toc34908914"/>
      <w:r>
        <w:rPr>
          <w:rFonts w:hint="eastAsia" w:ascii="宋体" w:hAnsi="宋体" w:eastAsia="宋体" w:cs="宋体"/>
          <w:kern w:val="0"/>
        </w:rPr>
        <w:t>合同工期：指发包人和承包人在本合同协议书中约定的，按总日历天数(包括法定节假日)计算的从开工日期至竣工日期的天数。</w:t>
      </w:r>
      <w:bookmarkEnd w:id="125"/>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⑷定额工期：指按《深圳市建设工程施工工期定额》计算的本工程工期。《深圳市建设工程施工工期定额》缺项的专业工程，其定额工期由发包人组织专家论证评审确定。</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⑸实际开工日期：指工程具备开工条件，监理人向承包人发出开工通知书中指令的开始本工程施工的日期。</w:t>
      </w:r>
    </w:p>
    <w:p>
      <w:pPr>
        <w:tabs>
          <w:tab w:val="left" w:pos="1620"/>
          <w:tab w:val="left" w:pos="2340"/>
        </w:tabs>
        <w:spacing w:after="156"/>
        <w:ind w:left="899"/>
        <w:jc w:val="left"/>
        <w:rPr>
          <w:rFonts w:hint="eastAsia" w:ascii="宋体" w:hAnsi="宋体" w:eastAsia="宋体" w:cs="宋体"/>
          <w:kern w:val="0"/>
        </w:rPr>
      </w:pPr>
      <w:bookmarkStart w:id="126" w:name="_Toc34908913"/>
      <w:r>
        <w:rPr>
          <w:rFonts w:hint="eastAsia" w:ascii="宋体" w:hAnsi="宋体" w:eastAsia="宋体" w:cs="宋体"/>
          <w:kern w:val="0"/>
        </w:rPr>
        <w:t>⑹实际竣工日期：指承包人按本合同约定承包范围和质量要求完成本工程施工并通过竣工验收的日期。</w:t>
      </w:r>
      <w:bookmarkEnd w:id="126"/>
    </w:p>
    <w:p>
      <w:pPr>
        <w:tabs>
          <w:tab w:val="left" w:pos="1620"/>
          <w:tab w:val="left" w:pos="2340"/>
        </w:tabs>
        <w:spacing w:after="156"/>
        <w:ind w:left="899"/>
        <w:jc w:val="left"/>
        <w:rPr>
          <w:rFonts w:hint="eastAsia" w:ascii="宋体" w:hAnsi="宋体" w:eastAsia="宋体" w:cs="宋体"/>
          <w:kern w:val="0"/>
        </w:rPr>
      </w:pPr>
      <w:bookmarkStart w:id="127" w:name="_Toc34908915"/>
      <w:r>
        <w:rPr>
          <w:rFonts w:hint="eastAsia" w:ascii="宋体" w:hAnsi="宋体" w:eastAsia="宋体" w:cs="宋体"/>
          <w:kern w:val="0"/>
        </w:rPr>
        <w:t>⑺实际工期：指按总日历天数(包括法定节假日)计算的从实际开工日期至实际竣工日期的天数。</w:t>
      </w:r>
      <w:bookmarkEnd w:id="127"/>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⑻交接证书：指本工程或本合同中约定有单独工期的单项工程竣工后，发包人和承包人进行本工程移交所签发的证书。</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⑼缺陷责任期：是指承包人按照合同约定承担缺陷修复义务，且发包人预留质量保证金的期限，自工程实际竣工日期起计算。</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⑽保修期：是指承包人按照合同约定对工程承担保修责任的期限，从工程竣工验收合格之日起计算。</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⑾基准日期：以投标截止日前28天的日期为基准日期。</w:t>
      </w:r>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128" w:name="_Toc302635694"/>
      <w:bookmarkStart w:id="129" w:name="_Toc305331228"/>
      <w:bookmarkStart w:id="130" w:name="_Toc67418481"/>
      <w:bookmarkStart w:id="131" w:name="_Toc28448"/>
      <w:bookmarkStart w:id="132" w:name="_Toc34908921"/>
      <w:r>
        <w:rPr>
          <w:rFonts w:hint="eastAsia" w:ascii="宋体" w:hAnsi="宋体" w:cs="宋体"/>
          <w:sz w:val="24"/>
          <w:szCs w:val="24"/>
          <w:lang w:val="en-US" w:eastAsia="zh-CN"/>
        </w:rPr>
        <w:t xml:space="preserve">1.6 </w:t>
      </w:r>
      <w:r>
        <w:rPr>
          <w:rFonts w:hint="eastAsia" w:ascii="宋体" w:hAnsi="宋体" w:eastAsia="宋体" w:cs="宋体"/>
          <w:sz w:val="24"/>
          <w:szCs w:val="24"/>
        </w:rPr>
        <w:t>其它</w:t>
      </w:r>
      <w:bookmarkEnd w:id="128"/>
      <w:bookmarkEnd w:id="129"/>
      <w:bookmarkEnd w:id="130"/>
      <w:bookmarkEnd w:id="131"/>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⑴违约责任：指合同一方不履行合同义务或履行合同义务不符合约定所应承担的责任。</w:t>
      </w:r>
      <w:bookmarkEnd w:id="132"/>
    </w:p>
    <w:p>
      <w:pPr>
        <w:tabs>
          <w:tab w:val="left" w:pos="1620"/>
          <w:tab w:val="left" w:pos="2340"/>
        </w:tabs>
        <w:spacing w:after="156"/>
        <w:ind w:left="899"/>
        <w:jc w:val="left"/>
        <w:rPr>
          <w:rFonts w:hint="eastAsia" w:ascii="宋体" w:hAnsi="宋体" w:eastAsia="宋体" w:cs="宋体"/>
          <w:kern w:val="0"/>
        </w:rPr>
      </w:pPr>
      <w:bookmarkStart w:id="133" w:name="_Toc34908922"/>
      <w:r>
        <w:rPr>
          <w:rFonts w:hint="eastAsia" w:ascii="宋体" w:hAnsi="宋体" w:eastAsia="宋体" w:cs="宋体"/>
          <w:kern w:val="0"/>
        </w:rPr>
        <w:t>⑵索赔：指在合同履行过程中，对于并非自己的过错、而应由对方承担责任的情况造成的损失，向对方提出经济补偿和(或)工期顺延的要求。</w:t>
      </w:r>
      <w:bookmarkEnd w:id="133"/>
    </w:p>
    <w:p>
      <w:pPr>
        <w:tabs>
          <w:tab w:val="left" w:pos="1620"/>
          <w:tab w:val="left" w:pos="2340"/>
        </w:tabs>
        <w:spacing w:after="156"/>
        <w:ind w:left="899"/>
        <w:jc w:val="left"/>
        <w:rPr>
          <w:rFonts w:hint="eastAsia" w:ascii="宋体" w:hAnsi="宋体" w:eastAsia="宋体" w:cs="宋体"/>
          <w:kern w:val="0"/>
        </w:rPr>
      </w:pPr>
      <w:bookmarkStart w:id="134" w:name="_Toc34908923"/>
      <w:r>
        <w:rPr>
          <w:rFonts w:hint="eastAsia" w:ascii="宋体" w:hAnsi="宋体" w:eastAsia="宋体" w:cs="宋体"/>
          <w:kern w:val="0"/>
        </w:rPr>
        <w:t>⑶不可抗力：发包人和承包人在合同签订时不能预见、对其发生的后果不能避免，并且不能克服的自然灾害和社会性突发事件。</w:t>
      </w:r>
      <w:bookmarkEnd w:id="134"/>
    </w:p>
    <w:p>
      <w:pPr>
        <w:tabs>
          <w:tab w:val="left" w:pos="1620"/>
          <w:tab w:val="left" w:pos="2340"/>
        </w:tabs>
        <w:spacing w:after="156"/>
        <w:ind w:left="899"/>
        <w:jc w:val="left"/>
        <w:rPr>
          <w:rFonts w:hint="eastAsia" w:ascii="宋体" w:hAnsi="宋体" w:eastAsia="宋体" w:cs="宋体"/>
          <w:kern w:val="0"/>
        </w:rPr>
      </w:pPr>
      <w:bookmarkStart w:id="135" w:name="_Toc34908924"/>
      <w:r>
        <w:rPr>
          <w:rFonts w:hint="eastAsia" w:ascii="宋体" w:hAnsi="宋体" w:eastAsia="宋体" w:cs="宋体"/>
          <w:kern w:val="0"/>
        </w:rPr>
        <w:t>⑷小时或天：合同中约定按小时计算时间的，从事件有效开始时计算(不扣除休息时间)；约定按天计算时间的，开始当天不计入，从次日开始计算。时限的最后一天是法定节假日的，以节假日次日为时限的最后一天，但竣工日期除外。时限的最后一天的截止时间为当日24时。</w:t>
      </w:r>
      <w:bookmarkEnd w:id="135"/>
    </w:p>
    <w:p>
      <w:pPr>
        <w:tabs>
          <w:tab w:val="left" w:pos="1620"/>
          <w:tab w:val="left" w:pos="2340"/>
        </w:tabs>
        <w:spacing w:after="156"/>
        <w:ind w:left="899"/>
        <w:jc w:val="left"/>
        <w:rPr>
          <w:rFonts w:hint="eastAsia" w:ascii="宋体" w:hAnsi="宋体" w:eastAsia="宋体" w:cs="宋体"/>
          <w:kern w:val="0"/>
        </w:rPr>
      </w:pPr>
      <w:bookmarkStart w:id="136" w:name="_Toc34908925"/>
      <w:r>
        <w:rPr>
          <w:rFonts w:hint="eastAsia" w:ascii="宋体" w:hAnsi="宋体" w:eastAsia="宋体" w:cs="宋体"/>
          <w:kern w:val="0"/>
        </w:rPr>
        <w:t>⑸法定节假日：指星期六、星期天及国家法定的其它节假日。</w:t>
      </w:r>
      <w:bookmarkEnd w:id="136"/>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137" w:name="_Toc305331229"/>
      <w:bookmarkStart w:id="138" w:name="_Toc67418482"/>
      <w:bookmarkStart w:id="139" w:name="_Toc302635695"/>
      <w:bookmarkStart w:id="140" w:name="_Toc3635"/>
      <w:bookmarkStart w:id="141" w:name="_Toc34908927"/>
      <w:r>
        <w:rPr>
          <w:rFonts w:hint="eastAsia" w:ascii="宋体" w:hAnsi="宋体" w:cs="宋体"/>
          <w:sz w:val="24"/>
          <w:szCs w:val="24"/>
          <w:lang w:val="en-US" w:eastAsia="zh-CN"/>
        </w:rPr>
        <w:t xml:space="preserve">1.7 </w:t>
      </w:r>
      <w:r>
        <w:rPr>
          <w:rFonts w:hint="eastAsia" w:ascii="宋体" w:hAnsi="宋体" w:eastAsia="宋体" w:cs="宋体"/>
          <w:sz w:val="24"/>
          <w:szCs w:val="24"/>
        </w:rPr>
        <w:t>标题</w:t>
      </w:r>
      <w:bookmarkEnd w:id="137"/>
      <w:bookmarkEnd w:id="138"/>
      <w:bookmarkEnd w:id="139"/>
      <w:bookmarkEnd w:id="140"/>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本合同条款的标题不视为合同条款或合同本身的一部分，在解释及推定合同条款时，不列入考虑。</w:t>
      </w:r>
      <w:bookmarkEnd w:id="141"/>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142" w:name="_Toc34908928"/>
      <w:bookmarkStart w:id="143" w:name="_Toc305331230"/>
      <w:bookmarkStart w:id="144" w:name="_Toc35656458"/>
      <w:bookmarkStart w:id="145" w:name="_Toc3937"/>
      <w:bookmarkStart w:id="146" w:name="_Toc302635696"/>
      <w:bookmarkStart w:id="147" w:name="_Toc35656958"/>
      <w:bookmarkStart w:id="148" w:name="_Toc67418483"/>
      <w:r>
        <w:rPr>
          <w:rFonts w:hint="eastAsia" w:ascii="宋体" w:hAnsi="宋体" w:cs="宋体"/>
          <w:sz w:val="24"/>
          <w:szCs w:val="24"/>
          <w:lang w:val="en-US" w:eastAsia="zh-CN"/>
        </w:rPr>
        <w:t xml:space="preserve">1.8 </w:t>
      </w:r>
      <w:r>
        <w:rPr>
          <w:rFonts w:hint="eastAsia" w:ascii="宋体" w:hAnsi="宋体" w:eastAsia="宋体" w:cs="宋体"/>
          <w:sz w:val="24"/>
          <w:szCs w:val="24"/>
        </w:rPr>
        <w:t>书面形式</w:t>
      </w:r>
      <w:bookmarkEnd w:id="142"/>
      <w:bookmarkEnd w:id="143"/>
      <w:bookmarkEnd w:id="144"/>
      <w:bookmarkEnd w:id="145"/>
      <w:bookmarkEnd w:id="146"/>
      <w:bookmarkEnd w:id="147"/>
      <w:bookmarkEnd w:id="148"/>
    </w:p>
    <w:p>
      <w:pPr>
        <w:tabs>
          <w:tab w:val="left" w:pos="1620"/>
          <w:tab w:val="left" w:pos="2340"/>
        </w:tabs>
        <w:spacing w:after="156"/>
        <w:ind w:left="899"/>
        <w:jc w:val="left"/>
        <w:rPr>
          <w:rFonts w:hint="eastAsia" w:ascii="宋体" w:hAnsi="宋体" w:eastAsia="宋体" w:cs="宋体"/>
          <w:kern w:val="0"/>
        </w:rPr>
      </w:pPr>
      <w:bookmarkStart w:id="149" w:name="_Toc34908929"/>
      <w:r>
        <w:rPr>
          <w:rFonts w:hint="eastAsia" w:ascii="宋体" w:hAnsi="宋体" w:eastAsia="宋体" w:cs="宋体"/>
          <w:kern w:val="0"/>
        </w:rPr>
        <w:t>⑴本合同另有约定外，在合同履行过程中承发包双方发出或发布的任何通知、指令，均应是书面的，收件方应在回执上签署姓名和收到时间</w:t>
      </w:r>
      <w:bookmarkEnd w:id="149"/>
      <w:r>
        <w:rPr>
          <w:rFonts w:hint="eastAsia" w:ascii="宋体" w:hAnsi="宋体" w:eastAsia="宋体" w:cs="宋体"/>
          <w:kern w:val="0"/>
        </w:rPr>
        <w:t>，不应无理扣压或拖延。</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⑵本合同在签订过程中应由打印形成，除承发包双方的法定代表人或授权代表签名外，如需手写的，所有手写部分必须由同一人手写。发包人和承包人应共同指定填写人，并在</w:t>
      </w:r>
      <w:r>
        <w:rPr>
          <w:rFonts w:hint="eastAsia" w:ascii="宋体" w:hAnsi="宋体" w:eastAsia="宋体" w:cs="宋体"/>
          <w:b/>
          <w:i/>
          <w:kern w:val="0"/>
        </w:rPr>
        <w:t>专用条款</w:t>
      </w:r>
      <w:r>
        <w:rPr>
          <w:rFonts w:hint="eastAsia" w:ascii="宋体" w:hAnsi="宋体" w:eastAsia="宋体" w:cs="宋体"/>
          <w:kern w:val="0"/>
        </w:rPr>
        <w:t>中明确填写人的姓名和身份证号码。</w:t>
      </w:r>
    </w:p>
    <w:p>
      <w:pPr>
        <w:pStyle w:val="2"/>
        <w:keepNext w:val="0"/>
        <w:keepLines w:val="0"/>
        <w:widowControl w:val="0"/>
        <w:tabs>
          <w:tab w:val="left" w:pos="540"/>
          <w:tab w:val="left" w:pos="1620"/>
          <w:tab w:val="left" w:pos="2340"/>
        </w:tabs>
        <w:spacing w:before="240" w:after="120"/>
        <w:ind w:left="178" w:firstLine="0"/>
        <w:rPr>
          <w:rFonts w:hint="eastAsia" w:ascii="宋体" w:hAnsi="宋体" w:eastAsia="宋体" w:cs="宋体"/>
        </w:rPr>
      </w:pPr>
      <w:bookmarkStart w:id="150" w:name="_Toc67418484"/>
      <w:bookmarkStart w:id="151" w:name="_Toc302635697"/>
      <w:bookmarkStart w:id="152" w:name="_Toc25621"/>
      <w:r>
        <w:rPr>
          <w:rFonts w:hint="eastAsia" w:ascii="宋体" w:cs="宋体"/>
          <w:lang w:val="en-US" w:eastAsia="zh-CN"/>
        </w:rPr>
        <w:t xml:space="preserve">2 </w:t>
      </w:r>
      <w:r>
        <w:rPr>
          <w:rFonts w:hint="eastAsia" w:ascii="宋体" w:hAnsi="宋体" w:eastAsia="宋体" w:cs="宋体"/>
        </w:rPr>
        <w:t>一般约定</w:t>
      </w:r>
      <w:bookmarkEnd w:id="150"/>
      <w:bookmarkEnd w:id="151"/>
      <w:bookmarkEnd w:id="152"/>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153" w:name="_Toc302635698"/>
      <w:bookmarkStart w:id="154" w:name="_Toc34908931"/>
      <w:bookmarkStart w:id="155" w:name="_Toc67418485"/>
      <w:bookmarkStart w:id="156" w:name="_Toc35656460"/>
      <w:bookmarkStart w:id="157" w:name="_Toc35656960"/>
      <w:bookmarkStart w:id="158" w:name="_Toc17135"/>
      <w:bookmarkStart w:id="159" w:name="_Toc305331232"/>
      <w:r>
        <w:rPr>
          <w:rFonts w:hint="eastAsia" w:ascii="宋体" w:hAnsi="宋体" w:cs="宋体"/>
          <w:sz w:val="24"/>
          <w:szCs w:val="24"/>
          <w:lang w:val="en-US" w:eastAsia="zh-CN"/>
        </w:rPr>
        <w:t xml:space="preserve">2.1 </w:t>
      </w:r>
      <w:r>
        <w:rPr>
          <w:rFonts w:hint="eastAsia" w:ascii="宋体" w:hAnsi="宋体" w:eastAsia="宋体" w:cs="宋体"/>
          <w:sz w:val="24"/>
          <w:szCs w:val="24"/>
        </w:rPr>
        <w:t>合同文件组成及解释顺序</w:t>
      </w:r>
      <w:bookmarkEnd w:id="153"/>
      <w:bookmarkEnd w:id="154"/>
      <w:bookmarkEnd w:id="155"/>
      <w:bookmarkEnd w:id="156"/>
      <w:bookmarkEnd w:id="157"/>
      <w:bookmarkEnd w:id="158"/>
      <w:bookmarkEnd w:id="159"/>
    </w:p>
    <w:p>
      <w:pPr>
        <w:tabs>
          <w:tab w:val="left" w:pos="1620"/>
          <w:tab w:val="left" w:pos="2340"/>
        </w:tabs>
        <w:ind w:left="899"/>
        <w:jc w:val="left"/>
        <w:rPr>
          <w:rFonts w:hint="eastAsia" w:ascii="宋体" w:hAnsi="宋体" w:eastAsia="宋体" w:cs="宋体"/>
          <w:kern w:val="0"/>
        </w:rPr>
      </w:pPr>
      <w:bookmarkStart w:id="160" w:name="_Toc34908932"/>
      <w:r>
        <w:rPr>
          <w:rFonts w:hint="eastAsia" w:ascii="宋体" w:hAnsi="宋体" w:eastAsia="宋体" w:cs="宋体"/>
          <w:kern w:val="0"/>
        </w:rPr>
        <w:t>在合同订立及履行过程中形成的与合同有关的文件均构成合同文件组成部分。组成合同的各个文件应该是一个整体，彼此相互解释，互为说明。本合同组成文件及优先解释顺序如下：</w:t>
      </w:r>
      <w:bookmarkEnd w:id="160"/>
    </w:p>
    <w:p>
      <w:pPr>
        <w:tabs>
          <w:tab w:val="left" w:pos="1620"/>
          <w:tab w:val="left" w:pos="2340"/>
        </w:tabs>
        <w:ind w:left="899"/>
        <w:jc w:val="left"/>
        <w:rPr>
          <w:rFonts w:hint="eastAsia" w:ascii="宋体" w:hAnsi="宋体" w:eastAsia="宋体" w:cs="宋体"/>
          <w:kern w:val="0"/>
        </w:rPr>
      </w:pPr>
      <w:bookmarkStart w:id="161" w:name="_Toc34908933"/>
      <w:r>
        <w:rPr>
          <w:rFonts w:hint="eastAsia" w:ascii="宋体" w:hAnsi="宋体" w:eastAsia="宋体" w:cs="宋体"/>
          <w:kern w:val="0"/>
        </w:rPr>
        <w:t>⑴本合同签订后双方新签订的补充协议；</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⑵合同协议书；</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 xml:space="preserve">⑶中标通知书及其附件； </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⑷合同补充条款；</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⑸合同专用条款；</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⑹合同通用条款；</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⑺本工程招标文件中的技术要求和投标报价规定；</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⑻投标文件(包括承包人在评标期间和合同谈判过程中递交和确认并经发包人同意的对有关问题的补充资料和澄清文件等)；</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⑼现行的标准、规范、规定及有关技术文件；</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⑽图纸和技术规格书；</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⑾已标价工程量清单；</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⑿发包人和承包人双方有关本工程的变更、签证、洽商、索赔、询价采购凭证等书面文件及组成合同的其他文件。</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上述各项合同文件包括承发包双方就该项合同文件所作出的补充和修改，属于同一类内容的文件，应以最新签署的为准。</w:t>
      </w:r>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162" w:name="_Toc7789"/>
      <w:bookmarkStart w:id="163" w:name="_Toc67418486"/>
      <w:bookmarkStart w:id="164" w:name="_Toc302635699"/>
      <w:r>
        <w:rPr>
          <w:rFonts w:hint="eastAsia" w:ascii="宋体" w:hAnsi="宋体" w:cs="宋体"/>
          <w:sz w:val="24"/>
          <w:szCs w:val="24"/>
          <w:lang w:val="en-US" w:eastAsia="zh-CN"/>
        </w:rPr>
        <w:t xml:space="preserve">2.2 </w:t>
      </w:r>
      <w:r>
        <w:rPr>
          <w:rFonts w:hint="eastAsia" w:ascii="宋体" w:hAnsi="宋体" w:eastAsia="宋体" w:cs="宋体"/>
          <w:sz w:val="24"/>
          <w:szCs w:val="24"/>
        </w:rPr>
        <w:t>合同文件内容争议</w:t>
      </w:r>
      <w:bookmarkEnd w:id="162"/>
      <w:bookmarkEnd w:id="163"/>
      <w:bookmarkEnd w:id="164"/>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当合同文件内容含糊不清或相互矛盾时，由发包人与承包人在不影响本工程正常实施的情况下协商解决，并达成补充协议予以明确约定。双方协商不成的，按通用条款第30条［争议解决］的约定处理。</w:t>
      </w:r>
      <w:bookmarkEnd w:id="161"/>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165" w:name="_Toc305331234"/>
      <w:bookmarkStart w:id="166" w:name="_Toc14081"/>
      <w:bookmarkStart w:id="167" w:name="_Toc302635700"/>
      <w:bookmarkStart w:id="168" w:name="_Toc67418487"/>
      <w:bookmarkStart w:id="169" w:name="_Toc35656461"/>
      <w:bookmarkStart w:id="170" w:name="_Toc35656961"/>
      <w:bookmarkStart w:id="171" w:name="_Toc34908934"/>
      <w:r>
        <w:rPr>
          <w:rFonts w:hint="eastAsia" w:ascii="宋体" w:hAnsi="宋体" w:cs="宋体"/>
          <w:sz w:val="24"/>
          <w:szCs w:val="24"/>
          <w:lang w:val="en-US" w:eastAsia="zh-CN"/>
        </w:rPr>
        <w:t xml:space="preserve">2.3 </w:t>
      </w:r>
      <w:r>
        <w:rPr>
          <w:rFonts w:hint="eastAsia" w:ascii="宋体" w:hAnsi="宋体" w:eastAsia="宋体" w:cs="宋体"/>
          <w:sz w:val="24"/>
          <w:szCs w:val="24"/>
        </w:rPr>
        <w:t>语言文字</w:t>
      </w:r>
      <w:bookmarkEnd w:id="165"/>
      <w:bookmarkEnd w:id="166"/>
      <w:bookmarkEnd w:id="167"/>
      <w:bookmarkEnd w:id="168"/>
    </w:p>
    <w:p>
      <w:pPr>
        <w:tabs>
          <w:tab w:val="left" w:pos="1620"/>
          <w:tab w:val="left" w:pos="2340"/>
        </w:tabs>
        <w:spacing w:after="156"/>
        <w:ind w:left="899"/>
        <w:jc w:val="left"/>
        <w:rPr>
          <w:rFonts w:hint="eastAsia" w:ascii="宋体" w:hAnsi="宋体" w:eastAsia="宋体" w:cs="宋体"/>
          <w:kern w:val="0"/>
        </w:rPr>
      </w:pPr>
      <w:bookmarkStart w:id="172" w:name="_Toc34908935"/>
      <w:r>
        <w:rPr>
          <w:rFonts w:hint="eastAsia" w:ascii="宋体" w:hAnsi="宋体" w:eastAsia="宋体" w:cs="宋体"/>
          <w:kern w:val="0"/>
        </w:rPr>
        <w:t>本合同文件使用汉语语言文字书写、解释和说明。</w:t>
      </w:r>
      <w:bookmarkEnd w:id="172"/>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173" w:name="_Toc29321"/>
      <w:bookmarkStart w:id="174" w:name="_Toc67418488"/>
      <w:bookmarkStart w:id="175" w:name="_Toc305331235"/>
      <w:bookmarkStart w:id="176" w:name="_Toc302635701"/>
      <w:r>
        <w:rPr>
          <w:rFonts w:hint="eastAsia" w:ascii="宋体" w:hAnsi="宋体" w:cs="宋体"/>
          <w:sz w:val="24"/>
          <w:szCs w:val="24"/>
          <w:lang w:val="en-US" w:eastAsia="zh-CN"/>
        </w:rPr>
        <w:t xml:space="preserve">2.4 </w:t>
      </w:r>
      <w:r>
        <w:rPr>
          <w:rFonts w:hint="eastAsia" w:ascii="宋体" w:hAnsi="宋体" w:eastAsia="宋体" w:cs="宋体"/>
          <w:sz w:val="24"/>
          <w:szCs w:val="24"/>
        </w:rPr>
        <w:t>法律、法规</w:t>
      </w:r>
      <w:bookmarkEnd w:id="169"/>
      <w:bookmarkEnd w:id="170"/>
      <w:bookmarkEnd w:id="171"/>
      <w:r>
        <w:rPr>
          <w:rFonts w:hint="eastAsia" w:ascii="宋体" w:hAnsi="宋体" w:eastAsia="宋体" w:cs="宋体"/>
          <w:sz w:val="24"/>
          <w:szCs w:val="24"/>
        </w:rPr>
        <w:t>和规章</w:t>
      </w:r>
      <w:bookmarkEnd w:id="173"/>
      <w:bookmarkEnd w:id="174"/>
      <w:bookmarkEnd w:id="175"/>
      <w:bookmarkEnd w:id="176"/>
    </w:p>
    <w:p>
      <w:pPr>
        <w:tabs>
          <w:tab w:val="left" w:pos="1620"/>
          <w:tab w:val="left" w:pos="2340"/>
        </w:tabs>
        <w:spacing w:after="156"/>
        <w:ind w:left="899"/>
        <w:jc w:val="left"/>
        <w:rPr>
          <w:rFonts w:hint="eastAsia" w:ascii="宋体" w:hAnsi="宋体" w:eastAsia="宋体" w:cs="宋体"/>
          <w:kern w:val="0"/>
        </w:rPr>
      </w:pPr>
      <w:bookmarkStart w:id="177" w:name="_Toc34908936"/>
      <w:r>
        <w:rPr>
          <w:rFonts w:hint="eastAsia" w:ascii="宋体" w:hAnsi="宋体" w:eastAsia="宋体" w:cs="宋体"/>
          <w:kern w:val="0"/>
        </w:rPr>
        <w:t>本合同适用中华人民共和国法律、法规和规章，以及本</w:t>
      </w:r>
      <w:r>
        <w:rPr>
          <w:rFonts w:hint="eastAsia" w:ascii="宋体" w:hAnsi="宋体" w:eastAsia="宋体" w:cs="宋体"/>
          <w:sz w:val="20"/>
        </w:rPr>
        <w:t>工程所在地的地方性法规和规章</w:t>
      </w:r>
      <w:r>
        <w:rPr>
          <w:rFonts w:hint="eastAsia" w:ascii="宋体" w:hAnsi="宋体" w:eastAsia="宋体" w:cs="宋体"/>
          <w:kern w:val="0"/>
        </w:rPr>
        <w:t>。需要明示的法律、法规和规章，由发包人和承包人在</w:t>
      </w:r>
      <w:r>
        <w:rPr>
          <w:rFonts w:hint="eastAsia" w:ascii="宋体" w:hAnsi="宋体" w:eastAsia="宋体" w:cs="宋体"/>
          <w:b/>
          <w:i/>
          <w:kern w:val="0"/>
        </w:rPr>
        <w:t>专用条款</w:t>
      </w:r>
      <w:r>
        <w:rPr>
          <w:rFonts w:hint="eastAsia" w:ascii="宋体" w:hAnsi="宋体" w:eastAsia="宋体" w:cs="宋体"/>
          <w:kern w:val="0"/>
        </w:rPr>
        <w:t>中约定。</w:t>
      </w:r>
      <w:bookmarkEnd w:id="177"/>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178" w:name="_Toc23766"/>
      <w:bookmarkStart w:id="179" w:name="_Toc67418489"/>
      <w:bookmarkStart w:id="180" w:name="_Toc35656962"/>
      <w:bookmarkStart w:id="181" w:name="_Toc302635702"/>
      <w:bookmarkStart w:id="182" w:name="_Toc305331236"/>
      <w:bookmarkStart w:id="183" w:name="_Toc35656462"/>
      <w:bookmarkStart w:id="184" w:name="_Toc34908937"/>
      <w:r>
        <w:rPr>
          <w:rFonts w:hint="eastAsia" w:ascii="宋体" w:hAnsi="宋体" w:cs="宋体"/>
          <w:sz w:val="24"/>
          <w:szCs w:val="24"/>
          <w:lang w:val="en-US" w:eastAsia="zh-CN"/>
        </w:rPr>
        <w:t xml:space="preserve">2.5 </w:t>
      </w:r>
      <w:r>
        <w:rPr>
          <w:rFonts w:hint="eastAsia" w:ascii="宋体" w:hAnsi="宋体" w:eastAsia="宋体" w:cs="宋体"/>
          <w:sz w:val="24"/>
          <w:szCs w:val="24"/>
        </w:rPr>
        <w:t>标准、规范</w:t>
      </w:r>
      <w:bookmarkEnd w:id="178"/>
      <w:bookmarkEnd w:id="179"/>
      <w:bookmarkEnd w:id="180"/>
      <w:bookmarkEnd w:id="181"/>
      <w:bookmarkEnd w:id="182"/>
      <w:bookmarkEnd w:id="183"/>
      <w:bookmarkEnd w:id="184"/>
    </w:p>
    <w:p>
      <w:pPr>
        <w:tabs>
          <w:tab w:val="left" w:pos="1620"/>
          <w:tab w:val="left" w:pos="2340"/>
        </w:tabs>
        <w:spacing w:after="156"/>
        <w:ind w:left="899"/>
        <w:jc w:val="left"/>
        <w:rPr>
          <w:rFonts w:hint="eastAsia" w:ascii="宋体" w:hAnsi="宋体" w:eastAsia="宋体" w:cs="宋体"/>
          <w:kern w:val="0"/>
        </w:rPr>
      </w:pPr>
      <w:bookmarkStart w:id="185" w:name="_Toc34908938"/>
      <w:r>
        <w:rPr>
          <w:rFonts w:hint="eastAsia" w:ascii="宋体" w:hAnsi="宋体" w:eastAsia="宋体" w:cs="宋体"/>
          <w:kern w:val="0"/>
        </w:rPr>
        <w:t>⑴本工程的材料、设备、施工必须符合现行国家、行业及住房和城乡建设部、广东省、深圳市颁布的相关标准、规范、规程和验收标准的要求。当国家、行业及深圳市地方标准、规范存在不一致时，以要求更严格者为准，设计文件另有规定除外。</w:t>
      </w:r>
    </w:p>
    <w:bookmarkEnd w:id="185"/>
    <w:p>
      <w:pPr>
        <w:tabs>
          <w:tab w:val="left" w:pos="1620"/>
          <w:tab w:val="left" w:pos="2340"/>
        </w:tabs>
        <w:spacing w:after="156"/>
        <w:ind w:left="899"/>
        <w:jc w:val="left"/>
        <w:rPr>
          <w:rFonts w:hint="eastAsia" w:ascii="宋体" w:hAnsi="宋体" w:eastAsia="宋体" w:cs="宋体"/>
          <w:kern w:val="0"/>
        </w:rPr>
      </w:pPr>
      <w:bookmarkStart w:id="186" w:name="_Toc34908939"/>
      <w:r>
        <w:rPr>
          <w:rFonts w:hint="eastAsia" w:ascii="宋体" w:hAnsi="宋体" w:eastAsia="宋体" w:cs="宋体"/>
          <w:kern w:val="0"/>
        </w:rPr>
        <w:t>⑵发包人对工程的技术标准、功能要求高于或严于现行国家、行业或地方标准的，应当在</w:t>
      </w:r>
      <w:r>
        <w:rPr>
          <w:rFonts w:hint="eastAsia" w:ascii="宋体" w:hAnsi="宋体" w:eastAsia="宋体" w:cs="宋体"/>
          <w:b/>
          <w:i/>
          <w:kern w:val="0"/>
        </w:rPr>
        <w:t>专用条款</w:t>
      </w:r>
      <w:r>
        <w:rPr>
          <w:rFonts w:hint="eastAsia" w:ascii="宋体" w:hAnsi="宋体" w:eastAsia="宋体" w:cs="宋体"/>
          <w:kern w:val="0"/>
        </w:rPr>
        <w:t>中予以明确。除</w:t>
      </w:r>
      <w:r>
        <w:rPr>
          <w:rFonts w:hint="eastAsia" w:ascii="宋体" w:hAnsi="宋体" w:eastAsia="宋体" w:cs="宋体"/>
          <w:b/>
          <w:i/>
          <w:kern w:val="0"/>
        </w:rPr>
        <w:t>专用条款</w:t>
      </w:r>
      <w:r>
        <w:rPr>
          <w:rFonts w:hint="eastAsia" w:ascii="宋体" w:hAnsi="宋体" w:eastAsia="宋体" w:cs="宋体"/>
          <w:kern w:val="0"/>
        </w:rPr>
        <w:t>中另有约定外，应视为承包人在签订合同前已充分预见前述技术标准和功能要求的复杂程度，签约合同价中已包含由此产生的费用。</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⑶国内没有相应标准、规范的，以设计文件、产品说明书或承包人提交的且由发包人和监理人批准的技术方案为准。发包人要求使用国外标准、规范的，发包人负责提供原文版本和中文译本。</w:t>
      </w:r>
    </w:p>
    <w:bookmarkEnd w:id="186"/>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⑷用于本工程的标准、规范按</w:t>
      </w:r>
      <w:r>
        <w:rPr>
          <w:rFonts w:hint="eastAsia" w:ascii="宋体" w:hAnsi="宋体" w:eastAsia="宋体" w:cs="宋体"/>
          <w:b/>
          <w:i/>
          <w:kern w:val="0"/>
        </w:rPr>
        <w:t>专用条款</w:t>
      </w:r>
      <w:r>
        <w:rPr>
          <w:rFonts w:hint="eastAsia" w:ascii="宋体" w:hAnsi="宋体" w:eastAsia="宋体" w:cs="宋体"/>
          <w:kern w:val="0"/>
        </w:rPr>
        <w:t>中约定的方式提供。</w:t>
      </w:r>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187" w:name="_Toc35656963"/>
      <w:bookmarkStart w:id="188" w:name="_Toc34908940"/>
      <w:bookmarkStart w:id="189" w:name="_Toc35656463"/>
      <w:bookmarkStart w:id="190" w:name="_Toc302635703"/>
      <w:bookmarkStart w:id="191" w:name="_Toc67418490"/>
      <w:bookmarkStart w:id="192" w:name="_Toc305331237"/>
      <w:bookmarkStart w:id="193" w:name="_Toc301"/>
      <w:r>
        <w:rPr>
          <w:rFonts w:hint="eastAsia" w:ascii="宋体" w:hAnsi="宋体" w:cs="宋体"/>
          <w:sz w:val="24"/>
          <w:szCs w:val="24"/>
          <w:lang w:val="en-US" w:eastAsia="zh-CN"/>
        </w:rPr>
        <w:t xml:space="preserve">2.6 </w:t>
      </w:r>
      <w:r>
        <w:rPr>
          <w:rFonts w:hint="eastAsia" w:ascii="宋体" w:hAnsi="宋体" w:eastAsia="宋体" w:cs="宋体"/>
          <w:sz w:val="24"/>
          <w:szCs w:val="24"/>
        </w:rPr>
        <w:t>图纸</w:t>
      </w:r>
      <w:bookmarkEnd w:id="187"/>
      <w:bookmarkEnd w:id="188"/>
      <w:bookmarkEnd w:id="189"/>
      <w:r>
        <w:rPr>
          <w:rFonts w:hint="eastAsia" w:ascii="宋体" w:hAnsi="宋体" w:eastAsia="宋体" w:cs="宋体"/>
          <w:sz w:val="24"/>
          <w:szCs w:val="24"/>
        </w:rPr>
        <w:t>和技术资料的提供</w:t>
      </w:r>
      <w:bookmarkEnd w:id="190"/>
      <w:bookmarkEnd w:id="191"/>
      <w:bookmarkEnd w:id="192"/>
      <w:bookmarkEnd w:id="193"/>
    </w:p>
    <w:p>
      <w:pPr>
        <w:tabs>
          <w:tab w:val="left" w:pos="1620"/>
          <w:tab w:val="left" w:pos="2340"/>
        </w:tabs>
        <w:spacing w:after="156"/>
        <w:ind w:left="899"/>
        <w:jc w:val="left"/>
        <w:rPr>
          <w:rFonts w:hint="eastAsia" w:ascii="宋体" w:hAnsi="宋体" w:eastAsia="宋体" w:cs="宋体"/>
          <w:kern w:val="0"/>
        </w:rPr>
      </w:pPr>
      <w:bookmarkStart w:id="194" w:name="_Toc34908941"/>
      <w:r>
        <w:rPr>
          <w:rFonts w:hint="eastAsia" w:ascii="宋体" w:hAnsi="宋体" w:eastAsia="宋体" w:cs="宋体"/>
          <w:kern w:val="0"/>
        </w:rPr>
        <w:t>⑴发包人应按</w:t>
      </w:r>
      <w:r>
        <w:rPr>
          <w:rFonts w:hint="eastAsia" w:ascii="宋体" w:hAnsi="宋体" w:eastAsia="宋体" w:cs="宋体"/>
          <w:b/>
          <w:i/>
          <w:kern w:val="0"/>
        </w:rPr>
        <w:t>专用条款</w:t>
      </w:r>
      <w:r>
        <w:rPr>
          <w:rFonts w:hint="eastAsia" w:ascii="宋体" w:hAnsi="宋体" w:eastAsia="宋体" w:cs="宋体"/>
          <w:kern w:val="0"/>
        </w:rPr>
        <w:t>约定的时间和数量向承包人提供由发包人委托的设计人设计的全部施工图纸和其他技术资料，并组织向承包人进行技术交底。承包人需要增加图纸和资料套数的，应自费复制。发包人至迟不得晚于第11.1款［开工］中开工通知书载明的开工日期前14天向承包人提供图纸。</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⑵承包人应在施工现场保留一套完整的图纸，供监理人及有关人员进行工程检查时使用。</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如发包人提供的图纸和资料不完整，承包人应在本工程开工前7日向发包人提交书面报告，列明在不影响进度的条件下，发包人在整个施工期内应向承包人提供补充的图纸及资料的种类及最后期限。发包人收到书面报告后应及时通知设计人予以补充，并按照2.6(1)款约定的时间和数量提供给承包人。</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⑷承包人在收到发包人提供的图纸后，发现图纸存在差错、遗漏或缺陷的，应在</w:t>
      </w:r>
      <w:r>
        <w:rPr>
          <w:rFonts w:hint="eastAsia" w:ascii="宋体" w:hAnsi="宋体" w:eastAsia="宋体" w:cs="宋体"/>
          <w:b/>
          <w:i/>
          <w:kern w:val="0"/>
        </w:rPr>
        <w:t>专用条款</w:t>
      </w:r>
      <w:r>
        <w:rPr>
          <w:rFonts w:hint="eastAsia" w:ascii="宋体" w:hAnsi="宋体" w:eastAsia="宋体" w:cs="宋体"/>
          <w:kern w:val="0"/>
        </w:rPr>
        <w:t>约定的时限内通知监理人。监理人接到该通知后，应附具相关意见并在</w:t>
      </w:r>
      <w:r>
        <w:rPr>
          <w:rFonts w:hint="eastAsia" w:ascii="宋体" w:hAnsi="宋体" w:eastAsia="宋体" w:cs="宋体"/>
          <w:b/>
          <w:i/>
          <w:kern w:val="0"/>
        </w:rPr>
        <w:t>专用条款</w:t>
      </w:r>
      <w:r>
        <w:rPr>
          <w:rFonts w:hint="eastAsia" w:ascii="宋体" w:hAnsi="宋体" w:eastAsia="宋体" w:cs="宋体"/>
          <w:kern w:val="0"/>
        </w:rPr>
        <w:t>约定的时限内报送发包人，发包人应在收到监理人报送的通知后在</w:t>
      </w:r>
      <w:r>
        <w:rPr>
          <w:rFonts w:hint="eastAsia" w:ascii="宋体" w:hAnsi="宋体" w:eastAsia="宋体" w:cs="宋体"/>
          <w:b/>
          <w:i/>
          <w:kern w:val="0"/>
        </w:rPr>
        <w:t>专用条款</w:t>
      </w:r>
      <w:r>
        <w:rPr>
          <w:rFonts w:hint="eastAsia" w:ascii="宋体" w:hAnsi="宋体" w:eastAsia="宋体" w:cs="宋体"/>
          <w:kern w:val="0"/>
        </w:rPr>
        <w:t>约定的时限内作出决定。</w:t>
      </w:r>
    </w:p>
    <w:bookmarkEnd w:id="194"/>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195" w:name="_Toc305331238"/>
      <w:bookmarkStart w:id="196" w:name="_Toc302635704"/>
      <w:bookmarkStart w:id="197" w:name="_Toc67418491"/>
      <w:bookmarkStart w:id="198" w:name="_Toc31900"/>
      <w:bookmarkStart w:id="199" w:name="_Toc34908942"/>
      <w:r>
        <w:rPr>
          <w:rFonts w:hint="eastAsia" w:ascii="宋体" w:hAnsi="宋体" w:cs="宋体"/>
          <w:sz w:val="24"/>
          <w:szCs w:val="24"/>
          <w:lang w:val="en-US" w:eastAsia="zh-CN"/>
        </w:rPr>
        <w:t xml:space="preserve">2.7 </w:t>
      </w:r>
      <w:r>
        <w:rPr>
          <w:rFonts w:hint="eastAsia" w:ascii="宋体" w:hAnsi="宋体" w:eastAsia="宋体" w:cs="宋体"/>
          <w:sz w:val="24"/>
          <w:szCs w:val="24"/>
        </w:rPr>
        <w:t>图纸和资料提供的延误</w:t>
      </w:r>
      <w:bookmarkEnd w:id="195"/>
      <w:bookmarkEnd w:id="196"/>
      <w:bookmarkEnd w:id="197"/>
      <w:bookmarkEnd w:id="198"/>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⑴因发包人未能按约定提供图纸和资料，打乱工程施工进度计划，给承包人造成损失和(或)导致工期延误的，发包人应赔偿承包人损失和(或)顺延延误的工期。</w:t>
      </w:r>
      <w:bookmarkEnd w:id="199"/>
    </w:p>
    <w:p>
      <w:pPr>
        <w:tabs>
          <w:tab w:val="left" w:pos="1620"/>
          <w:tab w:val="left" w:pos="2340"/>
        </w:tabs>
        <w:spacing w:after="156"/>
        <w:ind w:left="899"/>
        <w:jc w:val="left"/>
        <w:rPr>
          <w:rFonts w:hint="eastAsia" w:ascii="宋体" w:hAnsi="宋体" w:eastAsia="宋体" w:cs="宋体"/>
          <w:kern w:val="0"/>
        </w:rPr>
      </w:pPr>
      <w:bookmarkStart w:id="200" w:name="_Toc34908943"/>
      <w:r>
        <w:rPr>
          <w:rFonts w:hint="eastAsia" w:ascii="宋体" w:hAnsi="宋体" w:eastAsia="宋体" w:cs="宋体"/>
          <w:kern w:val="0"/>
        </w:rPr>
        <w:t>⑵发包人之所以不能按约定提供图纸和资料，是因为承包人未能提交本合同约定应由其提交的资料或提交的资料有误所致，则承包人无权要求发包人赔偿损失、顺延工期。</w:t>
      </w:r>
      <w:bookmarkEnd w:id="200"/>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201" w:name="_Toc305331239"/>
      <w:bookmarkStart w:id="202" w:name="_Toc23141"/>
      <w:bookmarkStart w:id="203" w:name="_Toc302635705"/>
      <w:bookmarkStart w:id="204" w:name="_Toc67418492"/>
      <w:bookmarkStart w:id="205" w:name="_Toc34908945"/>
      <w:r>
        <w:rPr>
          <w:rFonts w:hint="eastAsia" w:ascii="宋体" w:hAnsi="宋体" w:cs="宋体"/>
          <w:sz w:val="24"/>
          <w:szCs w:val="24"/>
          <w:lang w:val="en-US" w:eastAsia="zh-CN"/>
        </w:rPr>
        <w:t xml:space="preserve">2.8 </w:t>
      </w:r>
      <w:r>
        <w:rPr>
          <w:rFonts w:hint="eastAsia" w:ascii="宋体" w:hAnsi="宋体" w:eastAsia="宋体" w:cs="宋体"/>
          <w:sz w:val="24"/>
          <w:szCs w:val="24"/>
        </w:rPr>
        <w:t>补充图纸和资料</w:t>
      </w:r>
      <w:bookmarkEnd w:id="201"/>
      <w:bookmarkEnd w:id="202"/>
      <w:bookmarkEnd w:id="203"/>
      <w:bookmarkEnd w:id="204"/>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发包人为满足本工程的正确实施和完成及其缺陷修复所需，可委托设计人设计补充图纸(含深化设计图纸)和技术资料，并按</w:t>
      </w:r>
      <w:r>
        <w:rPr>
          <w:rFonts w:hint="eastAsia" w:ascii="宋体" w:hAnsi="宋体" w:eastAsia="宋体" w:cs="宋体"/>
          <w:b/>
          <w:i/>
          <w:kern w:val="0"/>
        </w:rPr>
        <w:t>专用条款</w:t>
      </w:r>
      <w:r>
        <w:rPr>
          <w:rFonts w:hint="eastAsia" w:ascii="宋体" w:hAnsi="宋体" w:eastAsia="宋体" w:cs="宋体"/>
          <w:kern w:val="0"/>
        </w:rPr>
        <w:t>约定的时间和数量向承包人发出，承包人应予执行。</w:t>
      </w:r>
      <w:bookmarkEnd w:id="205"/>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206" w:name="_Toc305331240"/>
      <w:bookmarkStart w:id="207" w:name="_Toc302635706"/>
      <w:bookmarkStart w:id="208" w:name="_Toc67418493"/>
      <w:bookmarkStart w:id="209" w:name="_Toc29819"/>
      <w:bookmarkStart w:id="210" w:name="_Toc34908944"/>
      <w:bookmarkStart w:id="211" w:name="_Toc35656464"/>
      <w:bookmarkStart w:id="212" w:name="_Toc34908946"/>
      <w:bookmarkStart w:id="213" w:name="_Toc35656964"/>
      <w:r>
        <w:rPr>
          <w:rFonts w:hint="eastAsia" w:ascii="宋体" w:hAnsi="宋体" w:cs="宋体"/>
          <w:sz w:val="24"/>
          <w:szCs w:val="24"/>
          <w:lang w:val="en-US" w:eastAsia="zh-CN"/>
        </w:rPr>
        <w:t xml:space="preserve">2.9 </w:t>
      </w:r>
      <w:r>
        <w:rPr>
          <w:rFonts w:hint="eastAsia" w:ascii="宋体" w:hAnsi="宋体" w:eastAsia="宋体" w:cs="宋体"/>
          <w:sz w:val="24"/>
          <w:szCs w:val="24"/>
        </w:rPr>
        <w:t>临时工程图纸</w:t>
      </w:r>
      <w:bookmarkEnd w:id="206"/>
      <w:bookmarkEnd w:id="207"/>
      <w:bookmarkEnd w:id="208"/>
      <w:bookmarkEnd w:id="209"/>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当监理人认为需要时，承包人应提交本工程临时工程的设计图纸一式3份，供监理人批准或备查。</w:t>
      </w:r>
      <w:bookmarkEnd w:id="210"/>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214" w:name="_Toc67418494"/>
      <w:bookmarkStart w:id="215" w:name="_Toc302635707"/>
      <w:bookmarkStart w:id="216" w:name="_Toc24791"/>
      <w:bookmarkStart w:id="217" w:name="_Toc305331241"/>
      <w:r>
        <w:rPr>
          <w:rFonts w:hint="eastAsia" w:ascii="宋体" w:hAnsi="宋体" w:cs="宋体"/>
          <w:sz w:val="24"/>
          <w:szCs w:val="24"/>
          <w:lang w:val="en-US" w:eastAsia="zh-CN"/>
        </w:rPr>
        <w:t xml:space="preserve">2.10 </w:t>
      </w:r>
      <w:r>
        <w:rPr>
          <w:rFonts w:hint="eastAsia" w:ascii="宋体" w:hAnsi="宋体" w:eastAsia="宋体" w:cs="宋体"/>
          <w:sz w:val="24"/>
          <w:szCs w:val="24"/>
        </w:rPr>
        <w:t>竣工图</w:t>
      </w:r>
      <w:bookmarkEnd w:id="214"/>
      <w:bookmarkEnd w:id="215"/>
      <w:bookmarkEnd w:id="216"/>
      <w:bookmarkEnd w:id="217"/>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⑴除</w:t>
      </w:r>
      <w:r>
        <w:rPr>
          <w:rFonts w:hint="eastAsia" w:ascii="宋体" w:hAnsi="宋体" w:eastAsia="宋体" w:cs="宋体"/>
          <w:b/>
          <w:i/>
          <w:kern w:val="0"/>
        </w:rPr>
        <w:t>专用条款</w:t>
      </w:r>
      <w:r>
        <w:rPr>
          <w:rFonts w:hint="eastAsia" w:ascii="宋体" w:hAnsi="宋体" w:eastAsia="宋体" w:cs="宋体"/>
          <w:kern w:val="0"/>
        </w:rPr>
        <w:t>另有约定外，在本工程竣工验收之前，承包人须按政府建设行政主管部门及政府档案主管部门有关技术档案管理要求编制整理竣工图，报监理人审核后移交给发包人。</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竣工图内容应与工程实物相符，加盖竣工图章，由承包人本工程技术负责人签名，并按规定要求叠折、装订和组卷。承包人应向政府档案主管部门和发包人各提交一份竣工图及电子文档，交政府档案主管部门的竣工图需要由设计人加盖设计人公章。</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218" w:name="_Toc67418495"/>
      <w:bookmarkStart w:id="219" w:name="_Toc305331242"/>
      <w:bookmarkStart w:id="220" w:name="_Toc11543"/>
      <w:bookmarkStart w:id="221" w:name="_Toc302635708"/>
      <w:r>
        <w:rPr>
          <w:rFonts w:hint="eastAsia" w:ascii="宋体" w:hAnsi="宋体" w:cs="宋体"/>
          <w:sz w:val="24"/>
          <w:szCs w:val="24"/>
          <w:lang w:val="en-US" w:eastAsia="zh-CN"/>
        </w:rPr>
        <w:t xml:space="preserve">2.11 </w:t>
      </w:r>
      <w:r>
        <w:rPr>
          <w:rFonts w:hint="eastAsia" w:ascii="宋体" w:hAnsi="宋体" w:eastAsia="宋体" w:cs="宋体"/>
          <w:sz w:val="24"/>
          <w:szCs w:val="24"/>
        </w:rPr>
        <w:t>通知</w:t>
      </w:r>
      <w:bookmarkEnd w:id="211"/>
      <w:bookmarkEnd w:id="212"/>
      <w:bookmarkEnd w:id="213"/>
      <w:bookmarkEnd w:id="218"/>
      <w:bookmarkEnd w:id="219"/>
      <w:bookmarkEnd w:id="220"/>
      <w:bookmarkEnd w:id="221"/>
    </w:p>
    <w:p>
      <w:pPr>
        <w:tabs>
          <w:tab w:val="left" w:pos="1620"/>
          <w:tab w:val="left" w:pos="2340"/>
        </w:tabs>
        <w:spacing w:after="156"/>
        <w:ind w:left="899"/>
        <w:jc w:val="left"/>
        <w:rPr>
          <w:rFonts w:hint="eastAsia" w:ascii="宋体" w:hAnsi="宋体" w:eastAsia="宋体" w:cs="宋体"/>
          <w:kern w:val="0"/>
        </w:rPr>
      </w:pPr>
      <w:bookmarkStart w:id="222" w:name="_Toc34908947"/>
      <w:r>
        <w:rPr>
          <w:rFonts w:hint="eastAsia" w:ascii="宋体" w:hAnsi="宋体" w:eastAsia="宋体" w:cs="宋体"/>
          <w:kern w:val="0"/>
        </w:rPr>
        <w:t>⑴根据本合同条款由发包人或监理人发给承包人的一切证书、通知或指令均应发送或派专人送达承包人在</w:t>
      </w:r>
      <w:r>
        <w:rPr>
          <w:rFonts w:hint="eastAsia" w:ascii="宋体" w:hAnsi="宋体" w:eastAsia="宋体" w:cs="宋体"/>
          <w:b/>
          <w:i/>
          <w:kern w:val="0"/>
        </w:rPr>
        <w:t>专用条款</w:t>
      </w:r>
      <w:r>
        <w:rPr>
          <w:rFonts w:hint="eastAsia" w:ascii="宋体" w:hAnsi="宋体" w:eastAsia="宋体" w:cs="宋体"/>
          <w:kern w:val="0"/>
        </w:rPr>
        <w:t>中指定的地址。</w:t>
      </w:r>
      <w:bookmarkEnd w:id="222"/>
    </w:p>
    <w:p>
      <w:pPr>
        <w:tabs>
          <w:tab w:val="left" w:pos="1620"/>
          <w:tab w:val="left" w:pos="2340"/>
        </w:tabs>
        <w:spacing w:after="156"/>
        <w:ind w:left="899"/>
        <w:jc w:val="left"/>
        <w:rPr>
          <w:rFonts w:hint="eastAsia" w:ascii="宋体" w:hAnsi="宋体" w:eastAsia="宋体" w:cs="宋体"/>
          <w:kern w:val="0"/>
        </w:rPr>
      </w:pPr>
      <w:bookmarkStart w:id="223" w:name="_Toc34908948"/>
      <w:r>
        <w:rPr>
          <w:rFonts w:hint="eastAsia" w:ascii="宋体" w:hAnsi="宋体" w:eastAsia="宋体" w:cs="宋体"/>
          <w:kern w:val="0"/>
        </w:rPr>
        <w:t>⑵根据本合同条款由承包人发给发包人或监理人的一切通知均应发送或派专人送达发包人或监理人在</w:t>
      </w:r>
      <w:r>
        <w:rPr>
          <w:rFonts w:hint="eastAsia" w:ascii="宋体" w:hAnsi="宋体" w:eastAsia="宋体" w:cs="宋体"/>
          <w:b/>
          <w:i/>
          <w:kern w:val="0"/>
        </w:rPr>
        <w:t>专用条款</w:t>
      </w:r>
      <w:r>
        <w:rPr>
          <w:rFonts w:hint="eastAsia" w:ascii="宋体" w:hAnsi="宋体" w:eastAsia="宋体" w:cs="宋体"/>
          <w:kern w:val="0"/>
        </w:rPr>
        <w:t>中指定的地址。</w:t>
      </w:r>
      <w:bookmarkEnd w:id="223"/>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⑶若一方的通信地址发生改变，应提前3天书面通知另一方，</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⑷如一方拒绝签收另一方通知，另一方以特快专递方式将通知送至2.11⑴、⑵款指定的地址，视为送达。</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224" w:name="_Toc4299"/>
      <w:bookmarkStart w:id="225" w:name="_Toc302635709"/>
      <w:bookmarkStart w:id="226" w:name="_Toc67418496"/>
      <w:r>
        <w:rPr>
          <w:rFonts w:hint="eastAsia" w:ascii="宋体" w:hAnsi="宋体" w:cs="宋体"/>
          <w:sz w:val="24"/>
          <w:szCs w:val="24"/>
          <w:lang w:val="en-US" w:eastAsia="zh-CN"/>
        </w:rPr>
        <w:t xml:space="preserve">2.12 </w:t>
      </w:r>
      <w:r>
        <w:rPr>
          <w:rFonts w:hint="eastAsia" w:ascii="宋体" w:hAnsi="宋体" w:eastAsia="宋体" w:cs="宋体"/>
          <w:sz w:val="24"/>
          <w:szCs w:val="24"/>
        </w:rPr>
        <w:t>严禁贿赂</w:t>
      </w:r>
      <w:bookmarkEnd w:id="224"/>
      <w:bookmarkEnd w:id="225"/>
      <w:bookmarkEnd w:id="226"/>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⑴承发包双方不得以贿赂或变相贿赂的方式，谋取非法利益或损害对方权益。因一方的贿赂造成对方损失的，应赔偿损失，并承担相应的法律责任。</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⑵承包人不得与监理人或发包人聘请的第三方串通损害发包人利益。未经发包人书面同意，承包人不得为监理人提供合同约定以外的通讯设备、交通工具及其他任何形式的利益，不得向监理人支付报酬。</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227" w:name="_Toc67418497"/>
      <w:bookmarkStart w:id="228" w:name="_Toc302635710"/>
      <w:bookmarkStart w:id="229" w:name="_Toc22279"/>
      <w:r>
        <w:rPr>
          <w:rFonts w:hint="eastAsia" w:ascii="宋体" w:hAnsi="宋体" w:cs="宋体"/>
          <w:sz w:val="24"/>
          <w:szCs w:val="24"/>
          <w:lang w:val="en-US" w:eastAsia="zh-CN"/>
        </w:rPr>
        <w:t xml:space="preserve">2.13 </w:t>
      </w:r>
      <w:r>
        <w:rPr>
          <w:rFonts w:hint="eastAsia" w:ascii="宋体" w:hAnsi="宋体" w:eastAsia="宋体" w:cs="宋体"/>
          <w:sz w:val="24"/>
          <w:szCs w:val="24"/>
        </w:rPr>
        <w:t>交通运输</w:t>
      </w:r>
      <w:bookmarkEnd w:id="227"/>
      <w:bookmarkEnd w:id="228"/>
      <w:bookmarkEnd w:id="229"/>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⑴出入现场的权利</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除</w:t>
      </w:r>
      <w:r>
        <w:rPr>
          <w:rFonts w:hint="eastAsia" w:ascii="宋体" w:hAnsi="宋体" w:eastAsia="宋体" w:cs="宋体"/>
          <w:b/>
          <w:i/>
          <w:kern w:val="0"/>
        </w:rPr>
        <w:t>专用条款</w:t>
      </w:r>
      <w:r>
        <w:rPr>
          <w:rFonts w:hint="eastAsia" w:ascii="宋体" w:hAnsi="宋体" w:eastAsia="宋体" w:cs="宋体"/>
          <w:kern w:val="0"/>
        </w:rPr>
        <w:t>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承包人应在订立合同前查勘施工现场，并根据工程规模及技术参数合理预见工程施工所需的进出施工现场的方式、手段、路径等。因承包人未合理预见所增加的费用和（或）延误的工期由承包人承担。</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⑵场外交通</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余泥渣土运输车辆要求详见第18条［余泥渣土运输车辆要求］。</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⑶场内交通</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发包人应提供场内交通设施的技术参数和具体条件，并应按照</w:t>
      </w:r>
      <w:r>
        <w:rPr>
          <w:rFonts w:hint="eastAsia" w:ascii="宋体" w:hAnsi="宋体" w:eastAsia="宋体" w:cs="宋体"/>
          <w:b/>
          <w:i/>
          <w:kern w:val="0"/>
        </w:rPr>
        <w:t>专用条款</w:t>
      </w:r>
      <w:r>
        <w:rPr>
          <w:rFonts w:hint="eastAsia" w:ascii="宋体" w:hAnsi="宋体" w:eastAsia="宋体" w:cs="宋体"/>
          <w:kern w:val="0"/>
        </w:rPr>
        <w:t>的约定向承包人免费提供满足工程施工所需的场内道路和交通设施。因承包人原因造成上述道路或交通设施损坏的，承包人负责修复并承担由此增加的费用。</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除</w:t>
      </w:r>
      <w:r>
        <w:rPr>
          <w:rFonts w:hint="eastAsia" w:ascii="宋体" w:hAnsi="宋体" w:eastAsia="宋体" w:cs="宋体"/>
          <w:b/>
          <w:i/>
          <w:kern w:val="0"/>
        </w:rPr>
        <w:t>专用条款</w:t>
      </w:r>
      <w:r>
        <w:rPr>
          <w:rFonts w:hint="eastAsia" w:ascii="宋体" w:hAnsi="宋体" w:eastAsia="宋体" w:cs="宋体"/>
          <w:kern w:val="0"/>
        </w:rPr>
        <w:t>另有约定外，为保证正常的公共交通秩序而修建的社会便道或便桥及交通疏解费用由发包人承担。</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除发包人按照合同约定提供的场内道路和交通设施外，承包人负责修建、维修、养护和管理施工所需的其他场内临时道路和交通设施。</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⑷超大件和超重件的运输</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由承包人负责运输的超大件或超重件，应由承包人负责向交通管理部门办理申请手续，发包人给予协助。运输超大件或超重件所需的道路和桥梁临时加固改造费用和其他有关费用，由承包人承担，但</w:t>
      </w:r>
      <w:r>
        <w:rPr>
          <w:rFonts w:hint="eastAsia" w:ascii="宋体" w:hAnsi="宋体" w:eastAsia="宋体" w:cs="宋体"/>
          <w:b/>
          <w:i/>
          <w:kern w:val="0"/>
        </w:rPr>
        <w:t>专用条款</w:t>
      </w:r>
      <w:r>
        <w:rPr>
          <w:rFonts w:hint="eastAsia" w:ascii="宋体" w:hAnsi="宋体" w:eastAsia="宋体" w:cs="宋体"/>
          <w:kern w:val="0"/>
        </w:rPr>
        <w:t>另有约定除外。</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⑸道路和桥梁的损坏责任</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因承包人运输造成施工场地内外公共道路和桥梁损坏的，由承包人承担修复损坏的全部费用和可能引起的赔偿。</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⑹水路和航空运输</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本款前述各项的内容适用于水路运输和航空运输，其中“道路”一词的涵义包括河道、航线、船闸、机场、码头、堤防以及水路或航空运输中其他相似结构物；“车辆”一词的涵义包括船舶和飞机等。</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230" w:name="_Toc67418498"/>
      <w:bookmarkStart w:id="231" w:name="_Toc4156"/>
      <w:bookmarkStart w:id="232" w:name="_Toc302635711"/>
      <w:r>
        <w:rPr>
          <w:rFonts w:hint="eastAsia" w:ascii="宋体" w:hAnsi="宋体" w:cs="宋体"/>
          <w:sz w:val="24"/>
          <w:szCs w:val="24"/>
          <w:lang w:val="en-US" w:eastAsia="zh-CN"/>
        </w:rPr>
        <w:t xml:space="preserve">2.14 </w:t>
      </w:r>
      <w:r>
        <w:rPr>
          <w:rFonts w:hint="eastAsia" w:ascii="宋体" w:hAnsi="宋体" w:eastAsia="宋体" w:cs="宋体"/>
          <w:sz w:val="24"/>
          <w:szCs w:val="24"/>
        </w:rPr>
        <w:t>水土保持</w:t>
      </w:r>
      <w:bookmarkEnd w:id="230"/>
      <w:bookmarkEnd w:id="231"/>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⑴发包人应及时向承包人提供本工程已通过市区水务行政主管部门审批（备案）的水土保持方案（报告书或报告表）及准予行政许可决定书。</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承包人在施工期间，应严格执行《中华人民共和国水土保持法》、《广东省水土保持条例》、《深圳经济特区水土保持条例》等有关法律法规的规定，做好施工区和生活区的水土保持工作，减少对项目周边水土资源和生态环境的影响和破坏。</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承包人应按合同约定和监理人指令，接受国家和省、市、县、流域等地方水务行政主管部门的监督和检查。承包人应对其违反水土保持相关法律法规规定以及合同约定所造成的水土流失灾害、人身伤害和财产损失负责。</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⑷承包人的施工组织设计应满足《生产建设项目水土保持技术标准》（GB50433-2018）、《生产建设项目水土流失防治标准》（GB50434-2018）、《深圳市生产建设项目水土保持技术规范》（DB4403）等技术标准和要求。</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233" w:name="_Toc67418499"/>
      <w:bookmarkStart w:id="234" w:name="_Toc24847"/>
      <w:r>
        <w:rPr>
          <w:rFonts w:hint="eastAsia" w:ascii="宋体" w:hAnsi="宋体" w:cs="宋体"/>
          <w:sz w:val="24"/>
          <w:szCs w:val="24"/>
          <w:lang w:val="en-US" w:eastAsia="zh-CN"/>
        </w:rPr>
        <w:t xml:space="preserve">2.15 </w:t>
      </w:r>
      <w:r>
        <w:rPr>
          <w:rFonts w:hint="eastAsia" w:ascii="宋体" w:hAnsi="宋体" w:eastAsia="宋体" w:cs="宋体"/>
          <w:sz w:val="24"/>
          <w:szCs w:val="24"/>
        </w:rPr>
        <w:t>知识产权</w:t>
      </w:r>
      <w:bookmarkEnd w:id="232"/>
      <w:bookmarkEnd w:id="233"/>
      <w:bookmarkEnd w:id="234"/>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⑴除</w:t>
      </w:r>
      <w:r>
        <w:rPr>
          <w:rFonts w:hint="eastAsia" w:ascii="宋体" w:hAnsi="宋体" w:eastAsia="宋体" w:cs="宋体"/>
          <w:b/>
          <w:i/>
          <w:kern w:val="0"/>
        </w:rPr>
        <w:t>专用条款</w:t>
      </w:r>
      <w:r>
        <w:rPr>
          <w:rFonts w:hint="eastAsia" w:ascii="宋体" w:hAnsi="宋体" w:eastAsia="宋体" w:cs="宋体"/>
          <w:kern w:val="0"/>
        </w:rPr>
        <w:t>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⑵除</w:t>
      </w:r>
      <w:r>
        <w:rPr>
          <w:rFonts w:hint="eastAsia" w:ascii="宋体" w:hAnsi="宋体" w:eastAsia="宋体" w:cs="宋体"/>
          <w:b/>
          <w:i/>
          <w:kern w:val="0"/>
        </w:rPr>
        <w:t>专用条款</w:t>
      </w:r>
      <w:r>
        <w:rPr>
          <w:rFonts w:hint="eastAsia" w:ascii="宋体" w:hAnsi="宋体" w:eastAsia="宋体" w:cs="宋体"/>
          <w:kern w:val="0"/>
        </w:rPr>
        <w:t>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承发包双方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⑷除</w:t>
      </w:r>
      <w:r>
        <w:rPr>
          <w:rFonts w:hint="eastAsia" w:ascii="宋体" w:hAnsi="宋体" w:eastAsia="宋体" w:cs="宋体"/>
          <w:b/>
          <w:i/>
          <w:kern w:val="0"/>
        </w:rPr>
        <w:t>专用条款</w:t>
      </w:r>
      <w:r>
        <w:rPr>
          <w:rFonts w:hint="eastAsia" w:ascii="宋体" w:hAnsi="宋体" w:eastAsia="宋体" w:cs="宋体"/>
          <w:kern w:val="0"/>
        </w:rPr>
        <w:t>另有约定外，承包人在合同签订前和签订时已确定采用的专利、专有技术、技术秘密的使用费已包含在签约合同价中。</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235" w:name="_Toc302635712"/>
      <w:bookmarkStart w:id="236" w:name="_Toc22707"/>
      <w:bookmarkStart w:id="237" w:name="_Toc67418500"/>
      <w:r>
        <w:rPr>
          <w:rFonts w:hint="eastAsia" w:ascii="宋体" w:hAnsi="宋体" w:cs="宋体"/>
          <w:sz w:val="24"/>
          <w:szCs w:val="24"/>
          <w:lang w:val="en-US" w:eastAsia="zh-CN"/>
        </w:rPr>
        <w:t xml:space="preserve">2.16 </w:t>
      </w:r>
      <w:r>
        <w:rPr>
          <w:rFonts w:hint="eastAsia" w:ascii="宋体" w:hAnsi="宋体" w:eastAsia="宋体" w:cs="宋体"/>
          <w:sz w:val="24"/>
          <w:szCs w:val="24"/>
        </w:rPr>
        <w:t>保密</w:t>
      </w:r>
      <w:bookmarkEnd w:id="235"/>
      <w:bookmarkEnd w:id="236"/>
      <w:bookmarkEnd w:id="237"/>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除法律规定或合同另有约定外，未经发包人同意，承包人不得将发包人提供的图纸、文件以及声明需要保密的资料信息等商业秘密泄露给第三方。</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除法律规定或合同另有约定外，未经承包人同意，发包人不得将承包人提供的技术秘密及声明需要保密的资料信息等商业秘密泄露给第三方。</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238" w:name="_Toc302635819"/>
      <w:bookmarkStart w:id="239" w:name="_Toc67418501"/>
      <w:bookmarkStart w:id="240" w:name="_Toc305331332"/>
      <w:bookmarkStart w:id="241" w:name="_Toc21791"/>
      <w:bookmarkStart w:id="242" w:name="_Toc34909069"/>
      <w:r>
        <w:rPr>
          <w:rFonts w:hint="eastAsia" w:ascii="宋体" w:hAnsi="宋体" w:cs="宋体"/>
          <w:sz w:val="24"/>
          <w:szCs w:val="24"/>
          <w:lang w:val="en-US" w:eastAsia="zh-CN"/>
        </w:rPr>
        <w:t xml:space="preserve">2.17 </w:t>
      </w:r>
      <w:r>
        <w:rPr>
          <w:rFonts w:hint="eastAsia" w:ascii="宋体" w:hAnsi="宋体" w:eastAsia="宋体" w:cs="宋体"/>
          <w:sz w:val="24"/>
          <w:szCs w:val="24"/>
        </w:rPr>
        <w:t>化石、文物的保护</w:t>
      </w:r>
      <w:bookmarkEnd w:id="238"/>
      <w:bookmarkEnd w:id="239"/>
      <w:bookmarkEnd w:id="240"/>
      <w:bookmarkEnd w:id="241"/>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在现场发现的所有化石、文物，以及有地质或考古意义的结构物和其他遗迹或物品时，承包人应立即保护好现场并于4小时内通知监理人，监理人应于收到通知后24小时内报告当地文物管理部门，发包人和承包人应按文物管理部门的要求采取妥善保护措施。</w:t>
      </w:r>
      <w:bookmarkEnd w:id="242"/>
      <w:r>
        <w:rPr>
          <w:rFonts w:hint="eastAsia" w:ascii="宋体" w:hAnsi="宋体" w:eastAsia="宋体" w:cs="宋体"/>
          <w:kern w:val="0"/>
        </w:rPr>
        <w:t>发包人承担由此发生的费用，顺延延误的工期。如发现后隐瞒不报或报告不及时，致使上述化石、文物遭受破坏，责任人依法承担相应责任。</w:t>
      </w:r>
    </w:p>
    <w:p>
      <w:pPr>
        <w:pStyle w:val="2"/>
        <w:keepNext w:val="0"/>
        <w:keepLines w:val="0"/>
        <w:widowControl w:val="0"/>
        <w:tabs>
          <w:tab w:val="left" w:pos="540"/>
          <w:tab w:val="left" w:pos="1620"/>
          <w:tab w:val="left" w:pos="2340"/>
        </w:tabs>
        <w:spacing w:before="240" w:after="120"/>
        <w:ind w:left="178" w:firstLine="0"/>
        <w:rPr>
          <w:rFonts w:hint="eastAsia" w:ascii="宋体" w:hAnsi="宋体" w:eastAsia="宋体" w:cs="宋体"/>
        </w:rPr>
      </w:pPr>
      <w:bookmarkStart w:id="243" w:name="_Toc35656966"/>
      <w:bookmarkStart w:id="244" w:name="_Toc302635714"/>
      <w:bookmarkStart w:id="245" w:name="_Toc35656466"/>
      <w:bookmarkStart w:id="246" w:name="_Toc4286"/>
      <w:bookmarkStart w:id="247" w:name="_Toc34908950"/>
      <w:bookmarkStart w:id="248" w:name="_Toc305331243"/>
      <w:bookmarkStart w:id="249" w:name="_Toc67418502"/>
      <w:r>
        <w:rPr>
          <w:rFonts w:hint="eastAsia" w:ascii="宋体" w:cs="宋体"/>
          <w:lang w:val="en-US" w:eastAsia="zh-CN"/>
        </w:rPr>
        <w:t xml:space="preserve">3 </w:t>
      </w:r>
      <w:r>
        <w:rPr>
          <w:rFonts w:hint="eastAsia" w:ascii="宋体" w:hAnsi="宋体" w:eastAsia="宋体" w:cs="宋体"/>
        </w:rPr>
        <w:t>发包人</w:t>
      </w:r>
      <w:bookmarkEnd w:id="243"/>
      <w:bookmarkEnd w:id="244"/>
      <w:bookmarkEnd w:id="245"/>
      <w:bookmarkEnd w:id="246"/>
      <w:bookmarkEnd w:id="247"/>
      <w:bookmarkEnd w:id="248"/>
      <w:bookmarkEnd w:id="249"/>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250" w:name="_Toc305331244"/>
      <w:bookmarkStart w:id="251" w:name="_Toc302635715"/>
      <w:bookmarkStart w:id="252" w:name="_Toc67418503"/>
      <w:bookmarkStart w:id="253" w:name="_Toc31340"/>
      <w:bookmarkStart w:id="254" w:name="_Toc34908951"/>
      <w:r>
        <w:rPr>
          <w:rFonts w:hint="eastAsia" w:ascii="宋体" w:hAnsi="宋体" w:cs="宋体"/>
          <w:sz w:val="24"/>
          <w:szCs w:val="24"/>
          <w:lang w:val="en-US" w:eastAsia="zh-CN"/>
        </w:rPr>
        <w:t xml:space="preserve">3.1 </w:t>
      </w:r>
      <w:r>
        <w:rPr>
          <w:rFonts w:hint="eastAsia" w:ascii="宋体" w:hAnsi="宋体" w:eastAsia="宋体" w:cs="宋体"/>
          <w:sz w:val="24"/>
          <w:szCs w:val="24"/>
        </w:rPr>
        <w:t>发包人代表</w:t>
      </w:r>
      <w:bookmarkEnd w:id="250"/>
      <w:bookmarkEnd w:id="251"/>
      <w:bookmarkEnd w:id="252"/>
      <w:bookmarkEnd w:id="253"/>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发包人应任命发包人代表，发包人代表的姓名在</w:t>
      </w:r>
      <w:r>
        <w:rPr>
          <w:rFonts w:hint="eastAsia" w:ascii="宋体" w:hAnsi="宋体" w:eastAsia="宋体" w:cs="宋体"/>
          <w:b/>
          <w:i/>
          <w:kern w:val="0"/>
        </w:rPr>
        <w:t>专用条款</w:t>
      </w:r>
      <w:r>
        <w:rPr>
          <w:rFonts w:hint="eastAsia" w:ascii="宋体" w:hAnsi="宋体" w:eastAsia="宋体" w:cs="宋体"/>
          <w:kern w:val="0"/>
        </w:rPr>
        <w:t>中明确。本合同中约定由发包人确认、批准、同意、审批等事项均应以发包人盖章或发包人代表签字为准。发包人如需更换发包人代表，应至少提前7天以书面形式通知监理人和承包人。</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发包人代表不能按照合同约定履行其职责及义务，并导致合同无法继续正常履行的，承包人可以要求发包人撤换发包人代表。</w:t>
      </w:r>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255" w:name="_Toc302635716"/>
      <w:bookmarkStart w:id="256" w:name="_Toc67418504"/>
      <w:bookmarkStart w:id="257" w:name="_Toc305331245"/>
      <w:bookmarkStart w:id="258" w:name="_Toc6707"/>
      <w:r>
        <w:rPr>
          <w:rFonts w:hint="eastAsia" w:ascii="宋体" w:hAnsi="宋体" w:cs="宋体"/>
          <w:sz w:val="24"/>
          <w:szCs w:val="24"/>
          <w:lang w:val="en-US" w:eastAsia="zh-CN"/>
        </w:rPr>
        <w:t xml:space="preserve">3.2 </w:t>
      </w:r>
      <w:r>
        <w:rPr>
          <w:rFonts w:hint="eastAsia" w:ascii="宋体" w:hAnsi="宋体" w:eastAsia="宋体" w:cs="宋体"/>
          <w:sz w:val="24"/>
          <w:szCs w:val="24"/>
        </w:rPr>
        <w:t>发包人的义务</w:t>
      </w:r>
      <w:bookmarkEnd w:id="255"/>
      <w:bookmarkEnd w:id="256"/>
      <w:bookmarkEnd w:id="257"/>
      <w:bookmarkEnd w:id="258"/>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发包人应履行本合同所约定的全部义务。发包人应按本合同约定的期限和方式向承包人支付合同价款及其它应支付的款项，办理法律规定由其办理的许可、批准或备案，按合同约定向承包人提供基础资料和施工条件，并按合同约定及时组织竣工验收。</w:t>
      </w:r>
      <w:bookmarkEnd w:id="254"/>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259" w:name="_Toc302635717"/>
      <w:bookmarkStart w:id="260" w:name="_Toc19734"/>
      <w:bookmarkStart w:id="261" w:name="_Toc67418505"/>
      <w:r>
        <w:rPr>
          <w:rFonts w:hint="eastAsia" w:ascii="宋体" w:hAnsi="宋体" w:cs="宋体"/>
          <w:sz w:val="24"/>
          <w:szCs w:val="24"/>
          <w:lang w:val="en-US" w:eastAsia="zh-CN"/>
        </w:rPr>
        <w:t xml:space="preserve">3.3 </w:t>
      </w:r>
      <w:r>
        <w:rPr>
          <w:rFonts w:hint="eastAsia" w:ascii="宋体" w:hAnsi="宋体" w:eastAsia="宋体" w:cs="宋体"/>
          <w:sz w:val="24"/>
          <w:szCs w:val="24"/>
        </w:rPr>
        <w:t>发包人人员</w:t>
      </w:r>
      <w:bookmarkEnd w:id="259"/>
      <w:bookmarkEnd w:id="260"/>
      <w:bookmarkEnd w:id="261"/>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发包人人员包括发包人代表及其他由发包人派驻施工现场的人员。发包人应要求在施工现场的发包人人员配合承包人的工作并遵守关于工程安全、质量、环境保护与文明施工的规定，并保障承包人免于承受因发包人人员未遵守上述要求给承包人造成的损失和责任。</w:t>
      </w:r>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262" w:name="_Toc17332"/>
      <w:bookmarkStart w:id="263" w:name="_Toc305331246"/>
      <w:bookmarkStart w:id="264" w:name="_Toc302635718"/>
      <w:bookmarkStart w:id="265" w:name="_Toc67418506"/>
      <w:bookmarkStart w:id="266" w:name="_Toc34908952"/>
      <w:r>
        <w:rPr>
          <w:rFonts w:hint="eastAsia" w:ascii="宋体" w:hAnsi="宋体" w:cs="宋体"/>
          <w:sz w:val="24"/>
          <w:szCs w:val="24"/>
          <w:lang w:val="en-US" w:eastAsia="zh-CN"/>
        </w:rPr>
        <w:t xml:space="preserve">3.4 </w:t>
      </w:r>
      <w:r>
        <w:rPr>
          <w:rFonts w:hint="eastAsia" w:ascii="宋体" w:hAnsi="宋体" w:eastAsia="宋体" w:cs="宋体"/>
          <w:sz w:val="24"/>
          <w:szCs w:val="24"/>
        </w:rPr>
        <w:t>发包人的工作</w:t>
      </w:r>
      <w:bookmarkEnd w:id="262"/>
      <w:bookmarkEnd w:id="263"/>
      <w:bookmarkEnd w:id="264"/>
      <w:bookmarkEnd w:id="265"/>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⑴发包人应按照</w:t>
      </w:r>
      <w:r>
        <w:rPr>
          <w:rFonts w:hint="eastAsia" w:ascii="宋体" w:hAnsi="宋体" w:eastAsia="宋体" w:cs="宋体"/>
          <w:b/>
          <w:i/>
          <w:kern w:val="0"/>
        </w:rPr>
        <w:t>专用条款</w:t>
      </w:r>
      <w:r>
        <w:rPr>
          <w:rFonts w:hint="eastAsia" w:ascii="宋体" w:hAnsi="宋体" w:eastAsia="宋体" w:cs="宋体"/>
          <w:kern w:val="0"/>
        </w:rPr>
        <w:t>的约定在本工程开工前完成以下工作，并承担相关费用</w:t>
      </w:r>
      <w:bookmarkEnd w:id="266"/>
      <w:r>
        <w:rPr>
          <w:rFonts w:hint="eastAsia" w:ascii="宋体" w:hAnsi="宋体" w:eastAsia="宋体" w:cs="宋体"/>
          <w:kern w:val="0"/>
        </w:rPr>
        <w:t>：</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①办理土地征用、搬迁补偿、平整施工场地等工作，使施工场地具备施工条件，并在开工后继续负责解决上述工作遗留的问题；</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②根据</w:t>
      </w:r>
      <w:r>
        <w:rPr>
          <w:rFonts w:hint="eastAsia" w:ascii="宋体" w:hAnsi="宋体" w:eastAsia="宋体" w:cs="宋体"/>
          <w:b/>
          <w:i/>
          <w:kern w:val="0"/>
        </w:rPr>
        <w:t>专用条款</w:t>
      </w:r>
      <w:r>
        <w:rPr>
          <w:rFonts w:hint="eastAsia" w:ascii="宋体" w:hAnsi="宋体" w:eastAsia="宋体" w:cs="宋体"/>
          <w:kern w:val="0"/>
        </w:rPr>
        <w:t>约定的接驳地点，将施工所需水、电、通讯线路从施工场地外部接驳到施工场地内，保证施工期间的需要；</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③开通施工场地与城乡公共道路间的通道，满足施工运输的需要；</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④向承包人提供施工场地的工程地质和地下管线资料，对资料的真实性、准确性负责；</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⑤办理规划、施工许可证以及停水、停电、中断道路交通、爆破作业等的批件；</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⑥确定水准点与坐标控制点，组织现场交验并移交给承包人；</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⑦根据</w:t>
      </w:r>
      <w:r>
        <w:rPr>
          <w:rFonts w:hint="eastAsia" w:ascii="宋体" w:hAnsi="宋体" w:eastAsia="宋体" w:cs="宋体"/>
          <w:b/>
          <w:i/>
          <w:kern w:val="0"/>
        </w:rPr>
        <w:t>专用条款</w:t>
      </w:r>
      <w:r>
        <w:rPr>
          <w:rFonts w:hint="eastAsia" w:ascii="宋体" w:hAnsi="宋体" w:eastAsia="宋体" w:cs="宋体"/>
          <w:kern w:val="0"/>
        </w:rPr>
        <w:t>约定的时间，组织承包人和设计人进行图纸会审和设计交底；</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⑧协调处理施工场地周围地下管线和邻近建筑物、构筑物(包括文物保护建筑)、古树名木等的保护工作；</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⑨在</w:t>
      </w:r>
      <w:r>
        <w:rPr>
          <w:rFonts w:hint="eastAsia" w:ascii="宋体" w:hAnsi="宋体" w:eastAsia="宋体" w:cs="宋体"/>
          <w:b/>
          <w:i/>
          <w:kern w:val="0"/>
        </w:rPr>
        <w:t>专用条款</w:t>
      </w:r>
      <w:r>
        <w:rPr>
          <w:rFonts w:hint="eastAsia" w:ascii="宋体" w:hAnsi="宋体" w:eastAsia="宋体" w:cs="宋体"/>
          <w:kern w:val="0"/>
        </w:rPr>
        <w:t>内约定发包人应做的其他工作。</w:t>
      </w:r>
      <w:bookmarkStart w:id="267" w:name="_Toc34908954"/>
    </w:p>
    <w:p>
      <w:pPr>
        <w:tabs>
          <w:tab w:val="left" w:pos="1620"/>
          <w:tab w:val="left" w:pos="2340"/>
        </w:tabs>
        <w:spacing w:before="156"/>
        <w:ind w:left="899"/>
        <w:jc w:val="left"/>
        <w:rPr>
          <w:rFonts w:hint="eastAsia" w:ascii="宋体" w:hAnsi="宋体" w:eastAsia="宋体" w:cs="宋体"/>
          <w:kern w:val="0"/>
        </w:rPr>
      </w:pPr>
      <w:r>
        <w:rPr>
          <w:rFonts w:hint="eastAsia" w:ascii="宋体" w:hAnsi="宋体" w:eastAsia="宋体" w:cs="宋体"/>
          <w:kern w:val="0"/>
        </w:rPr>
        <w:t>⑵发包人未完成前款约定的各项工作，且未委托承包人办理，给承包人造成损失和(或)导致工期延误的，发包人应赔偿承包人损失和(或)顺延延误的工期。</w:t>
      </w:r>
      <w:bookmarkEnd w:id="267"/>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268" w:name="_Toc305331247"/>
      <w:bookmarkStart w:id="269" w:name="_Toc8249"/>
      <w:bookmarkStart w:id="270" w:name="_Toc302635719"/>
      <w:bookmarkStart w:id="271" w:name="_Toc67418507"/>
      <w:bookmarkStart w:id="272" w:name="_Toc34908953"/>
      <w:r>
        <w:rPr>
          <w:rFonts w:hint="eastAsia" w:ascii="宋体" w:hAnsi="宋体" w:cs="宋体"/>
          <w:sz w:val="24"/>
          <w:szCs w:val="24"/>
          <w:lang w:val="en-US" w:eastAsia="zh-CN"/>
        </w:rPr>
        <w:t xml:space="preserve">3.5 </w:t>
      </w:r>
      <w:r>
        <w:rPr>
          <w:rFonts w:hint="eastAsia" w:ascii="宋体" w:hAnsi="宋体" w:eastAsia="宋体" w:cs="宋体"/>
          <w:sz w:val="24"/>
          <w:szCs w:val="24"/>
        </w:rPr>
        <w:t>发包人委托</w:t>
      </w:r>
      <w:bookmarkEnd w:id="268"/>
      <w:bookmarkEnd w:id="269"/>
      <w:bookmarkEnd w:id="270"/>
      <w:bookmarkEnd w:id="271"/>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发包人可将3.4款部分工作委托承包人办理，具体委托内容由双方在</w:t>
      </w:r>
      <w:r>
        <w:rPr>
          <w:rFonts w:hint="eastAsia" w:ascii="宋体" w:hAnsi="宋体" w:eastAsia="宋体" w:cs="宋体"/>
          <w:b/>
          <w:i/>
          <w:kern w:val="0"/>
        </w:rPr>
        <w:t>专用条款</w:t>
      </w:r>
      <w:r>
        <w:rPr>
          <w:rFonts w:hint="eastAsia" w:ascii="宋体" w:hAnsi="宋体" w:eastAsia="宋体" w:cs="宋体"/>
          <w:kern w:val="0"/>
        </w:rPr>
        <w:t>中约定，费用由发包人承担。</w:t>
      </w:r>
      <w:bookmarkEnd w:id="272"/>
    </w:p>
    <w:p>
      <w:pPr>
        <w:pStyle w:val="2"/>
        <w:keepNext w:val="0"/>
        <w:keepLines w:val="0"/>
        <w:widowControl w:val="0"/>
        <w:tabs>
          <w:tab w:val="left" w:pos="540"/>
          <w:tab w:val="left" w:pos="1620"/>
          <w:tab w:val="left" w:pos="2340"/>
        </w:tabs>
        <w:spacing w:before="240" w:after="120"/>
        <w:ind w:left="178" w:firstLine="0"/>
        <w:rPr>
          <w:rFonts w:hint="eastAsia" w:ascii="宋体" w:hAnsi="宋体" w:eastAsia="宋体" w:cs="宋体"/>
        </w:rPr>
      </w:pPr>
      <w:bookmarkStart w:id="273" w:name="_Toc34908955"/>
      <w:bookmarkStart w:id="274" w:name="_Toc67418508"/>
      <w:bookmarkStart w:id="275" w:name="_Toc305331248"/>
      <w:bookmarkStart w:id="276" w:name="_Toc35656467"/>
      <w:bookmarkStart w:id="277" w:name="_Toc35656967"/>
      <w:bookmarkStart w:id="278" w:name="_Toc16127"/>
      <w:bookmarkStart w:id="279" w:name="_Toc302635720"/>
      <w:r>
        <w:rPr>
          <w:rFonts w:hint="eastAsia" w:ascii="宋体" w:cs="宋体"/>
          <w:lang w:val="en-US" w:eastAsia="zh-CN"/>
        </w:rPr>
        <w:t xml:space="preserve">4 </w:t>
      </w:r>
      <w:r>
        <w:rPr>
          <w:rFonts w:hint="eastAsia" w:ascii="宋体" w:hAnsi="宋体" w:eastAsia="宋体" w:cs="宋体"/>
        </w:rPr>
        <w:t>承包人</w:t>
      </w:r>
      <w:bookmarkEnd w:id="273"/>
      <w:bookmarkEnd w:id="274"/>
      <w:bookmarkEnd w:id="275"/>
      <w:bookmarkEnd w:id="276"/>
      <w:bookmarkEnd w:id="277"/>
      <w:bookmarkEnd w:id="278"/>
      <w:bookmarkEnd w:id="279"/>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280" w:name="_Toc302635721"/>
      <w:bookmarkStart w:id="281" w:name="_Toc9569"/>
      <w:bookmarkStart w:id="282" w:name="_Toc67418509"/>
      <w:bookmarkStart w:id="283" w:name="_Toc305331249"/>
      <w:bookmarkStart w:id="284" w:name="_Toc34908956"/>
      <w:r>
        <w:rPr>
          <w:rFonts w:hint="eastAsia" w:ascii="宋体" w:hAnsi="宋体" w:cs="宋体"/>
          <w:sz w:val="24"/>
          <w:szCs w:val="24"/>
          <w:lang w:val="en-US" w:eastAsia="zh-CN"/>
        </w:rPr>
        <w:t xml:space="preserve">4.1 </w:t>
      </w:r>
      <w:r>
        <w:rPr>
          <w:rFonts w:hint="eastAsia" w:ascii="宋体" w:hAnsi="宋体" w:eastAsia="宋体" w:cs="宋体"/>
          <w:sz w:val="24"/>
          <w:szCs w:val="24"/>
        </w:rPr>
        <w:t>承包人的义务</w:t>
      </w:r>
      <w:bookmarkEnd w:id="280"/>
      <w:bookmarkEnd w:id="281"/>
      <w:bookmarkEnd w:id="282"/>
      <w:bookmarkEnd w:id="283"/>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承包人应履行本合同所约定的全部义务。承包人应精心组织施工，按时完成本工程及其在缺陷保修期内对缺陷的修复。为此，承包人应提供所需的全部监督管理、人工、材料、设备、施工装备、往返工地的交通以及合同约定或合理地推断为进行本工程而需要的各种资源。</w:t>
      </w:r>
      <w:bookmarkEnd w:id="284"/>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285" w:name="_Toc305331250"/>
      <w:bookmarkStart w:id="286" w:name="_Toc19216"/>
      <w:bookmarkStart w:id="287" w:name="_Toc67418510"/>
      <w:bookmarkStart w:id="288" w:name="_Toc302635722"/>
      <w:r>
        <w:rPr>
          <w:rFonts w:hint="eastAsia" w:ascii="宋体" w:hAnsi="宋体" w:cs="宋体"/>
          <w:sz w:val="24"/>
          <w:szCs w:val="24"/>
          <w:lang w:val="en-US" w:eastAsia="zh-CN"/>
        </w:rPr>
        <w:t xml:space="preserve">4.2 </w:t>
      </w:r>
      <w:r>
        <w:rPr>
          <w:rFonts w:hint="eastAsia" w:ascii="宋体" w:hAnsi="宋体" w:eastAsia="宋体" w:cs="宋体"/>
          <w:sz w:val="24"/>
          <w:szCs w:val="24"/>
        </w:rPr>
        <w:t>承包人的工作</w:t>
      </w:r>
      <w:bookmarkEnd w:id="285"/>
      <w:bookmarkEnd w:id="286"/>
      <w:bookmarkEnd w:id="287"/>
      <w:bookmarkEnd w:id="288"/>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⑴承包人应按照</w:t>
      </w:r>
      <w:r>
        <w:rPr>
          <w:rFonts w:hint="eastAsia" w:ascii="宋体" w:hAnsi="宋体" w:eastAsia="宋体" w:cs="宋体"/>
          <w:b/>
          <w:i/>
          <w:kern w:val="0"/>
        </w:rPr>
        <w:t>专用条款</w:t>
      </w:r>
      <w:r>
        <w:rPr>
          <w:rFonts w:hint="eastAsia" w:ascii="宋体" w:hAnsi="宋体" w:eastAsia="宋体" w:cs="宋体"/>
          <w:kern w:val="0"/>
        </w:rPr>
        <w:t>约定完成以下工作：</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①办理法律规定应由承包人办理的许可和批准，并将办理结果书面报送发包人留存；</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②按法律规定和合同约定完成工程，并在保修期内承担保修义务；在本工程或本工程中某单项工程已竣工但未交付发包人以前，负责已完工程的保护工作，保护期间发生损坏，应予以修复并承担费用。如发包人要求承包人采取特殊保护措施，发包人应承担相应费用；</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③除</w:t>
      </w:r>
      <w:r>
        <w:rPr>
          <w:rFonts w:hint="eastAsia" w:ascii="宋体" w:hAnsi="宋体" w:eastAsia="宋体" w:cs="宋体"/>
          <w:b/>
          <w:i/>
          <w:kern w:val="0"/>
        </w:rPr>
        <w:t>专用条款</w:t>
      </w:r>
      <w:r>
        <w:rPr>
          <w:rFonts w:hint="eastAsia" w:ascii="宋体" w:hAnsi="宋体" w:eastAsia="宋体" w:cs="宋体"/>
          <w:kern w:val="0"/>
        </w:rPr>
        <w:t xml:space="preserve">另有约定外，向发包人提供施工场地办公和生活的房屋及设施，发包人承担由此发生的费用； </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④按法律规定和合同约定采取施工安全措施，确保工程及其人员、材料、设备和设施的安全，防止因工程施工造成的人身伤害和财产损失；采取环境保护措施，负责施工场地及其周边环境与生态的保护工作；</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⑤按合同约定的工作内容和施工进度要求，编制施工组织设计和施工措施计划，并对所有施工作业和施工方法的完备性和安全可靠性负责；</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⑥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⑦将发包人按合同约定支付的各项价款专用于合同工程，且应及时支付其雇用人员工资，并及时向分包人支付合同价款；</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⑧按照法律规定和合同约定编制竣工资料，完成竣工资料立卷及归档，并按</w:t>
      </w:r>
      <w:r>
        <w:rPr>
          <w:rFonts w:hint="eastAsia" w:ascii="宋体" w:hAnsi="宋体" w:eastAsia="宋体" w:cs="宋体"/>
          <w:b/>
          <w:i/>
          <w:kern w:val="0"/>
        </w:rPr>
        <w:t>专用条款</w:t>
      </w:r>
      <w:r>
        <w:rPr>
          <w:rFonts w:hint="eastAsia" w:ascii="宋体" w:hAnsi="宋体" w:eastAsia="宋体" w:cs="宋体"/>
          <w:kern w:val="0"/>
        </w:rPr>
        <w:t>约定的竣工资料的套数、时间等要求移交发包人；</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⑨在</w:t>
      </w:r>
      <w:r>
        <w:rPr>
          <w:rFonts w:hint="eastAsia" w:ascii="宋体" w:hAnsi="宋体" w:eastAsia="宋体" w:cs="宋体"/>
          <w:b/>
          <w:i/>
          <w:kern w:val="0"/>
        </w:rPr>
        <w:t>专用条款</w:t>
      </w:r>
      <w:r>
        <w:rPr>
          <w:rFonts w:hint="eastAsia" w:ascii="宋体" w:hAnsi="宋体" w:eastAsia="宋体" w:cs="宋体"/>
          <w:kern w:val="0"/>
        </w:rPr>
        <w:t>内约定承包人应做的其他工作。</w:t>
      </w:r>
    </w:p>
    <w:p>
      <w:pPr>
        <w:tabs>
          <w:tab w:val="left" w:pos="1620"/>
          <w:tab w:val="left" w:pos="2340"/>
        </w:tabs>
        <w:spacing w:before="156"/>
        <w:ind w:left="899"/>
        <w:jc w:val="left"/>
        <w:rPr>
          <w:rFonts w:hint="eastAsia" w:ascii="宋体" w:hAnsi="宋体" w:eastAsia="宋体" w:cs="宋体"/>
          <w:kern w:val="0"/>
        </w:rPr>
      </w:pPr>
      <w:bookmarkStart w:id="289" w:name="_Toc34908958"/>
      <w:r>
        <w:rPr>
          <w:rFonts w:hint="eastAsia" w:ascii="宋体" w:hAnsi="宋体" w:eastAsia="宋体" w:cs="宋体"/>
          <w:kern w:val="0"/>
        </w:rPr>
        <w:t>⑵承包人未完成3.5款及4.2款约定的各项工作，应视为承包人违约，承包人按28.2款的约定承担违约责任，给发包人造成损失和(或)导致工期延误的，承包人应赔偿发包人的损失和(或)工期不予顺延。</w:t>
      </w:r>
      <w:bookmarkEnd w:id="289"/>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290" w:name="_Toc35656469"/>
      <w:bookmarkStart w:id="291" w:name="_Toc35656970"/>
      <w:bookmarkStart w:id="292" w:name="_Toc34908971"/>
      <w:bookmarkStart w:id="293" w:name="_Toc305331251"/>
      <w:bookmarkStart w:id="294" w:name="_Toc11443"/>
      <w:bookmarkStart w:id="295" w:name="_Toc67418511"/>
      <w:bookmarkStart w:id="296" w:name="_Toc302635723"/>
      <w:r>
        <w:rPr>
          <w:rFonts w:hint="eastAsia" w:ascii="宋体" w:hAnsi="宋体" w:cs="宋体"/>
          <w:sz w:val="24"/>
          <w:szCs w:val="24"/>
          <w:lang w:val="en-US" w:eastAsia="zh-CN"/>
        </w:rPr>
        <w:t xml:space="preserve">4.3 </w:t>
      </w:r>
      <w:r>
        <w:rPr>
          <w:rFonts w:hint="eastAsia" w:ascii="宋体" w:hAnsi="宋体" w:eastAsia="宋体" w:cs="宋体"/>
          <w:sz w:val="24"/>
          <w:szCs w:val="24"/>
        </w:rPr>
        <w:t>项目经理</w:t>
      </w:r>
      <w:bookmarkEnd w:id="290"/>
      <w:bookmarkEnd w:id="291"/>
      <w:bookmarkEnd w:id="292"/>
      <w:r>
        <w:rPr>
          <w:rFonts w:hint="eastAsia" w:ascii="宋体" w:hAnsi="宋体" w:eastAsia="宋体" w:cs="宋体"/>
          <w:sz w:val="24"/>
          <w:szCs w:val="24"/>
        </w:rPr>
        <w:t>的任命</w:t>
      </w:r>
      <w:bookmarkEnd w:id="293"/>
      <w:r>
        <w:rPr>
          <w:rFonts w:hint="eastAsia" w:ascii="宋体" w:hAnsi="宋体" w:eastAsia="宋体" w:cs="宋体"/>
          <w:sz w:val="24"/>
          <w:szCs w:val="24"/>
        </w:rPr>
        <w:t>和职责</w:t>
      </w:r>
      <w:bookmarkEnd w:id="294"/>
      <w:bookmarkEnd w:id="295"/>
      <w:bookmarkEnd w:id="296"/>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⑴承包人应任命项目经理，授权其代表承包人履行本合同约定的权利和义务，</w:t>
      </w:r>
      <w:bookmarkStart w:id="297" w:name="_Toc34908973"/>
      <w:r>
        <w:rPr>
          <w:rFonts w:hint="eastAsia" w:ascii="宋体" w:hAnsi="宋体" w:eastAsia="宋体" w:cs="宋体"/>
          <w:kern w:val="0"/>
        </w:rPr>
        <w:t>承包人根据合同发出的一切文件(包括致发包人或监理人的通知)，均应以书面形式由项目经理签字后发出。</w:t>
      </w:r>
      <w:bookmarkEnd w:id="297"/>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⑵承包人任命的项目经理，应取得符合本工程要求的建造师资格，应在承包人单位注册，应与投标文件所载明的人选一致，并经发包人确认后在</w:t>
      </w:r>
      <w:r>
        <w:rPr>
          <w:rFonts w:hint="eastAsia" w:ascii="宋体" w:hAnsi="宋体" w:eastAsia="宋体" w:cs="宋体"/>
          <w:b/>
          <w:i/>
          <w:kern w:val="0"/>
        </w:rPr>
        <w:t>专用条款</w:t>
      </w:r>
      <w:r>
        <w:rPr>
          <w:rFonts w:hint="eastAsia" w:ascii="宋体" w:hAnsi="宋体" w:eastAsia="宋体" w:cs="宋体"/>
          <w:kern w:val="0"/>
        </w:rPr>
        <w:t>中明确。</w:t>
      </w:r>
    </w:p>
    <w:p>
      <w:pPr>
        <w:tabs>
          <w:tab w:val="left" w:pos="1620"/>
          <w:tab w:val="left" w:pos="2340"/>
        </w:tabs>
        <w:spacing w:after="156"/>
        <w:ind w:left="899"/>
        <w:jc w:val="left"/>
        <w:rPr>
          <w:rFonts w:hint="eastAsia" w:ascii="宋体" w:hAnsi="宋体" w:eastAsia="宋体" w:cs="宋体"/>
          <w:kern w:val="0"/>
        </w:rPr>
      </w:pPr>
      <w:bookmarkStart w:id="298" w:name="_Toc34908974"/>
      <w:r>
        <w:rPr>
          <w:rFonts w:hint="eastAsia" w:ascii="宋体" w:hAnsi="宋体" w:eastAsia="宋体" w:cs="宋体"/>
          <w:kern w:val="0"/>
        </w:rPr>
        <w:t>⑶若承包人派驻现场的项目经理与投标文件的承诺不一致，或项目经理未及时到位或未常驻现场，或同时兼任承包人其它工程项目的项目经理，发包人可按照</w:t>
      </w:r>
      <w:r>
        <w:rPr>
          <w:rFonts w:hint="eastAsia" w:ascii="宋体" w:hAnsi="宋体" w:eastAsia="宋体" w:cs="宋体"/>
          <w:b/>
          <w:i/>
          <w:kern w:val="0"/>
        </w:rPr>
        <w:t>专用条款</w:t>
      </w:r>
      <w:r>
        <w:rPr>
          <w:rFonts w:hint="eastAsia" w:ascii="宋体" w:hAnsi="宋体" w:eastAsia="宋体" w:cs="宋体"/>
          <w:kern w:val="0"/>
        </w:rPr>
        <w:t>中的约定对承包人进行相应处罚。</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⑷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299" w:name="_Toc305331252"/>
      <w:bookmarkStart w:id="300" w:name="_Toc302635724"/>
      <w:bookmarkStart w:id="301" w:name="_Toc67418512"/>
      <w:bookmarkStart w:id="302" w:name="_Toc14380"/>
      <w:r>
        <w:rPr>
          <w:rFonts w:hint="eastAsia" w:ascii="宋体" w:hAnsi="宋体" w:cs="宋体"/>
          <w:sz w:val="24"/>
          <w:szCs w:val="24"/>
          <w:lang w:val="en-US" w:eastAsia="zh-CN"/>
        </w:rPr>
        <w:t xml:space="preserve">4.4 </w:t>
      </w:r>
      <w:r>
        <w:rPr>
          <w:rFonts w:hint="eastAsia" w:ascii="宋体" w:hAnsi="宋体" w:eastAsia="宋体" w:cs="宋体"/>
          <w:sz w:val="24"/>
          <w:szCs w:val="24"/>
        </w:rPr>
        <w:t>项目经理的更换</w:t>
      </w:r>
      <w:bookmarkEnd w:id="299"/>
      <w:bookmarkEnd w:id="300"/>
      <w:bookmarkEnd w:id="301"/>
      <w:bookmarkEnd w:id="302"/>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⑴承包人的项目经理除以下情形之一外，不得更换：</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①因重病或重伤(持有县、区以上医院证明)两个月以上不能履行职责的；</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②主动辞职或调离原工作单位的；</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③因管理原因发生重大工程质量、安全事故，承包人认为该项目经理不称职需要更换的；</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④无能力履行合同的责任和义务，造成严重后果，发包人要求更换的；</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⑤因违法被责令停止执业的；</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⑥因涉嫌犯罪被羁押或判刑的；</w:t>
      </w:r>
    </w:p>
    <w:p>
      <w:pPr>
        <w:tabs>
          <w:tab w:val="left" w:pos="1620"/>
          <w:tab w:val="left" w:pos="2340"/>
        </w:tabs>
        <w:spacing w:after="156"/>
        <w:ind w:left="1079"/>
        <w:jc w:val="left"/>
        <w:rPr>
          <w:rFonts w:hint="eastAsia" w:ascii="宋体" w:hAnsi="宋体" w:eastAsia="宋体" w:cs="宋体"/>
          <w:kern w:val="0"/>
        </w:rPr>
      </w:pPr>
      <w:r>
        <w:rPr>
          <w:rFonts w:hint="eastAsia" w:ascii="宋体" w:hAnsi="宋体" w:eastAsia="宋体" w:cs="宋体"/>
          <w:kern w:val="0"/>
        </w:rPr>
        <w:t>⑦死亡。</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⑵承包人如确需更换项目经理，应至少提前7天以书面形式通知监理人，并报发包人同意，并按市</w:t>
      </w:r>
      <w:r>
        <w:rPr>
          <w:rFonts w:hint="eastAsia" w:ascii="宋体" w:hAnsi="宋体" w:eastAsia="宋体" w:cs="宋体"/>
        </w:rPr>
        <w:t>建设行政主管部门的规定办理变更手续，否则更换无效</w:t>
      </w:r>
      <w:r>
        <w:rPr>
          <w:rFonts w:hint="eastAsia" w:ascii="宋体" w:hAnsi="宋体" w:eastAsia="宋体" w:cs="宋体"/>
          <w:kern w:val="0"/>
        </w:rPr>
        <w:t>。</w:t>
      </w:r>
      <w:r>
        <w:rPr>
          <w:rFonts w:hint="eastAsia" w:ascii="宋体" w:hAnsi="宋体" w:eastAsia="宋体" w:cs="宋体"/>
        </w:rPr>
        <w:t>发包人应在收到通知后7天内予以答复，否则视为同意。续任项目经理应继续行使合同约定的项目经理的职权和履行相应的义务。</w:t>
      </w:r>
      <w:bookmarkEnd w:id="298"/>
      <w:r>
        <w:rPr>
          <w:rFonts w:hint="eastAsia" w:ascii="宋体" w:hAnsi="宋体" w:eastAsia="宋体" w:cs="宋体"/>
        </w:rPr>
        <w:t>承包人</w:t>
      </w:r>
      <w:r>
        <w:rPr>
          <w:rFonts w:hint="eastAsia" w:ascii="宋体" w:hAnsi="宋体" w:eastAsia="宋体" w:cs="宋体"/>
          <w:kern w:val="0"/>
        </w:rPr>
        <w:t>未经监理人及发包人同意更换项目经理的，发包人可按照</w:t>
      </w:r>
      <w:r>
        <w:rPr>
          <w:rFonts w:hint="eastAsia" w:ascii="宋体" w:hAnsi="宋体" w:eastAsia="宋体" w:cs="宋体"/>
          <w:b/>
          <w:i/>
          <w:kern w:val="0"/>
        </w:rPr>
        <w:t>专用条款</w:t>
      </w:r>
      <w:r>
        <w:rPr>
          <w:rFonts w:hint="eastAsia" w:ascii="宋体" w:hAnsi="宋体" w:eastAsia="宋体" w:cs="宋体"/>
          <w:kern w:val="0"/>
        </w:rPr>
        <w:t>中的约定对承包人进行相应处罚。</w:t>
      </w:r>
    </w:p>
    <w:p>
      <w:pPr>
        <w:tabs>
          <w:tab w:val="left" w:pos="1620"/>
          <w:tab w:val="left" w:pos="2340"/>
        </w:tabs>
        <w:spacing w:after="156"/>
        <w:ind w:left="899"/>
        <w:jc w:val="left"/>
        <w:rPr>
          <w:rFonts w:hint="eastAsia" w:ascii="宋体" w:hAnsi="宋体" w:eastAsia="宋体" w:cs="宋体"/>
        </w:rPr>
      </w:pPr>
      <w:r>
        <w:rPr>
          <w:rFonts w:hint="eastAsia" w:ascii="宋体" w:hAnsi="宋体" w:eastAsia="宋体" w:cs="宋体"/>
          <w:kern w:val="0"/>
        </w:rPr>
        <w:t>⑶</w:t>
      </w:r>
      <w:r>
        <w:rPr>
          <w:rFonts w:hint="eastAsia" w:ascii="宋体" w:hAnsi="宋体" w:eastAsia="宋体" w:cs="宋体"/>
        </w:rPr>
        <w:t>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承包人无正当理由拒绝更换项目经理的，应按照</w:t>
      </w:r>
      <w:r>
        <w:rPr>
          <w:rFonts w:hint="eastAsia" w:ascii="宋体" w:hAnsi="宋体" w:eastAsia="宋体" w:cs="宋体"/>
          <w:b/>
          <w:i/>
        </w:rPr>
        <w:t>专用条款</w:t>
      </w:r>
      <w:r>
        <w:rPr>
          <w:rFonts w:hint="eastAsia" w:ascii="宋体" w:hAnsi="宋体" w:eastAsia="宋体" w:cs="宋体"/>
        </w:rPr>
        <w:t>的约定承担违约责任。</w:t>
      </w:r>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303" w:name="_Toc302635725"/>
      <w:bookmarkStart w:id="304" w:name="_Toc19275"/>
      <w:bookmarkStart w:id="305" w:name="_Toc67418513"/>
      <w:r>
        <w:rPr>
          <w:rFonts w:hint="eastAsia" w:ascii="宋体" w:hAnsi="宋体" w:cs="宋体"/>
          <w:sz w:val="24"/>
          <w:szCs w:val="24"/>
          <w:lang w:val="en-US" w:eastAsia="zh-CN"/>
        </w:rPr>
        <w:t xml:space="preserve">4.5 </w:t>
      </w:r>
      <w:r>
        <w:rPr>
          <w:rFonts w:hint="eastAsia" w:ascii="宋体" w:hAnsi="宋体" w:eastAsia="宋体" w:cs="宋体"/>
          <w:sz w:val="24"/>
          <w:szCs w:val="24"/>
        </w:rPr>
        <w:t>项目经理的临时授权</w:t>
      </w:r>
      <w:bookmarkEnd w:id="303"/>
      <w:bookmarkEnd w:id="304"/>
      <w:bookmarkEnd w:id="305"/>
    </w:p>
    <w:p>
      <w:pPr>
        <w:tabs>
          <w:tab w:val="left" w:pos="1620"/>
          <w:tab w:val="left" w:pos="2340"/>
        </w:tabs>
        <w:spacing w:after="156"/>
        <w:ind w:left="899"/>
        <w:jc w:val="left"/>
        <w:rPr>
          <w:rFonts w:hint="eastAsia" w:ascii="宋体" w:hAnsi="宋体" w:eastAsia="宋体" w:cs="宋体"/>
        </w:rPr>
      </w:pPr>
      <w:r>
        <w:rPr>
          <w:rFonts w:hint="eastAsia" w:ascii="宋体" w:hAnsi="宋体" w:eastAsia="宋体" w:cs="宋体"/>
        </w:rPr>
        <w:t>⑴项目经理因特殊情况授权其下属人员履行其某项工作职责的，该下属人员应具备履行相应职责的能力，并应提前7天将上述人员的姓名和授权范围书面通知监理人，并征得发包人书面同意。未经发包人批准，任何此类任命和撤回均为无效。</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⑵项目经理临时任命人在项目经理暂离现场期间行使项目经理授予的职权，对承包人负责。临时任命人在项目经理授予职权范围和期限内的工作，项目经理应予认可。</w:t>
      </w:r>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306" w:name="_Toc305331253"/>
      <w:bookmarkStart w:id="307" w:name="_Toc67418514"/>
      <w:bookmarkStart w:id="308" w:name="_Toc23871"/>
      <w:bookmarkStart w:id="309" w:name="_Toc302635726"/>
      <w:r>
        <w:rPr>
          <w:rFonts w:hint="eastAsia" w:ascii="宋体" w:hAnsi="宋体" w:cs="宋体"/>
          <w:sz w:val="24"/>
          <w:szCs w:val="24"/>
          <w:lang w:val="en-US" w:eastAsia="zh-CN"/>
        </w:rPr>
        <w:t xml:space="preserve">4.6 </w:t>
      </w:r>
      <w:r>
        <w:rPr>
          <w:rFonts w:hint="eastAsia" w:ascii="宋体" w:hAnsi="宋体" w:eastAsia="宋体" w:cs="宋体"/>
          <w:sz w:val="24"/>
          <w:szCs w:val="24"/>
        </w:rPr>
        <w:t>施工管理人员</w:t>
      </w:r>
      <w:bookmarkEnd w:id="306"/>
      <w:bookmarkEnd w:id="307"/>
      <w:bookmarkEnd w:id="308"/>
      <w:bookmarkEnd w:id="309"/>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⑴承包人应按照投标文件的承诺，为本工程配备施工、技术、合同、材料、质量、安全、财务和</w:t>
      </w:r>
      <w:r>
        <w:rPr>
          <w:rFonts w:hint="eastAsia" w:ascii="宋体" w:hAnsi="宋体" w:eastAsia="宋体" w:cs="宋体"/>
        </w:rPr>
        <w:t>劳资</w:t>
      </w:r>
      <w:r>
        <w:rPr>
          <w:rFonts w:hint="eastAsia" w:ascii="宋体" w:hAnsi="宋体" w:eastAsia="宋体" w:cs="宋体"/>
          <w:kern w:val="0"/>
        </w:rPr>
        <w:t>等施工管理人员。</w:t>
      </w:r>
      <w:r>
        <w:rPr>
          <w:rFonts w:hint="eastAsia" w:ascii="宋体" w:hAnsi="宋体" w:eastAsia="宋体" w:cs="宋体"/>
        </w:rPr>
        <w:t>承包人应在合同签订后7天内提交施工管理人员的名单及其岗位、注册执业资格等，以及与承包人之间的劳动关系证明和缴纳社会保险的有效证明供监理人和发包人审核，承包人项目管理机构的设置应与投标文件一致。</w:t>
      </w:r>
    </w:p>
    <w:p>
      <w:pPr>
        <w:tabs>
          <w:tab w:val="left" w:pos="1620"/>
          <w:tab w:val="left" w:pos="2340"/>
        </w:tabs>
        <w:spacing w:after="156"/>
        <w:ind w:left="899"/>
        <w:jc w:val="left"/>
        <w:rPr>
          <w:rFonts w:hint="eastAsia" w:ascii="宋体" w:hAnsi="宋体" w:eastAsia="宋体" w:cs="宋体"/>
        </w:rPr>
      </w:pPr>
      <w:r>
        <w:rPr>
          <w:rFonts w:hint="eastAsia" w:ascii="宋体" w:hAnsi="宋体" w:eastAsia="宋体" w:cs="宋体"/>
          <w:kern w:val="0"/>
        </w:rPr>
        <w:t>⑵承包人的主要施工管理人员(技术负责人、质量负责人、安全负责人、安全员、劳资专管员及</w:t>
      </w:r>
      <w:r>
        <w:rPr>
          <w:rFonts w:hint="eastAsia" w:ascii="宋体" w:hAnsi="宋体" w:eastAsia="宋体" w:cs="宋体"/>
          <w:b/>
          <w:i/>
          <w:kern w:val="0"/>
        </w:rPr>
        <w:t>专用条款</w:t>
      </w:r>
      <w:r>
        <w:rPr>
          <w:rFonts w:hint="eastAsia" w:ascii="宋体" w:hAnsi="宋体" w:eastAsia="宋体" w:cs="宋体"/>
          <w:kern w:val="0"/>
        </w:rPr>
        <w:t>约定的其他人员)应</w:t>
      </w:r>
      <w:r>
        <w:rPr>
          <w:rFonts w:hint="eastAsia" w:ascii="宋体" w:hAnsi="宋体" w:eastAsia="宋体" w:cs="宋体"/>
        </w:rPr>
        <w:t>与投标文件所载明的人选一致且</w:t>
      </w:r>
      <w:r>
        <w:rPr>
          <w:rFonts w:hint="eastAsia" w:ascii="宋体" w:hAnsi="宋体" w:eastAsia="宋体" w:cs="宋体"/>
          <w:kern w:val="0"/>
        </w:rPr>
        <w:t>相对稳定。承包人如确需更换主要施工管理人员，应至少提前7天以书面形式通知监理人，并报发包人同意。</w:t>
      </w:r>
      <w:r>
        <w:rPr>
          <w:rFonts w:hint="eastAsia" w:ascii="宋体" w:hAnsi="宋体" w:eastAsia="宋体" w:cs="宋体"/>
        </w:rPr>
        <w:t>发包人应在收到通知后7天内予以答复，否则视为同意。</w:t>
      </w:r>
    </w:p>
    <w:p>
      <w:pPr>
        <w:tabs>
          <w:tab w:val="left" w:pos="1620"/>
          <w:tab w:val="left" w:pos="2340"/>
        </w:tabs>
        <w:spacing w:after="156"/>
        <w:ind w:left="899"/>
        <w:jc w:val="left"/>
        <w:rPr>
          <w:rFonts w:hint="eastAsia" w:ascii="宋体" w:hAnsi="宋体" w:eastAsia="宋体" w:cs="宋体"/>
        </w:rPr>
      </w:pPr>
      <w:r>
        <w:rPr>
          <w:rFonts w:hint="eastAsia" w:ascii="宋体" w:hAnsi="宋体" w:eastAsia="宋体" w:cs="宋体"/>
          <w:kern w:val="0"/>
        </w:rPr>
        <w:t>⑶承包人的主要施工管理人员应保证常驻现场。除</w:t>
      </w:r>
      <w:r>
        <w:rPr>
          <w:rFonts w:hint="eastAsia" w:ascii="宋体" w:hAnsi="宋体" w:eastAsia="宋体" w:cs="宋体"/>
          <w:b/>
          <w:i/>
          <w:kern w:val="0"/>
        </w:rPr>
        <w:t>专用条款</w:t>
      </w:r>
      <w:r>
        <w:rPr>
          <w:rFonts w:hint="eastAsia" w:ascii="宋体" w:hAnsi="宋体" w:eastAsia="宋体" w:cs="宋体"/>
          <w:kern w:val="0"/>
        </w:rPr>
        <w:t>另有约定外，承包人的主要施工管理人员离开施工现场每月累计不超过5天的，应报监理人同意；离开施工现场每月累计超过5天的，应以书面形式通知监理人，并报发包人同意。主要施工管理人员离开施工现场前应指定一名有经验的人员临时代行其职责，该人员应具备履行相应职责的资格和能力，且应征得监理人或发包人的同意。</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⑷承包人的劳资专管员应掌握施工现场用工、考勤、工资发放等情况，对分包人劳动用工实施监督管理，审核分包人编制的工人工资支付表。</w:t>
      </w:r>
    </w:p>
    <w:p>
      <w:pPr>
        <w:tabs>
          <w:tab w:val="left" w:pos="1620"/>
          <w:tab w:val="left" w:pos="2340"/>
        </w:tabs>
        <w:ind w:left="902"/>
        <w:jc w:val="left"/>
        <w:rPr>
          <w:rFonts w:hint="eastAsia" w:ascii="宋体" w:hAnsi="宋体" w:eastAsia="宋体" w:cs="宋体"/>
          <w:kern w:val="0"/>
        </w:rPr>
      </w:pPr>
      <w:r>
        <w:rPr>
          <w:rFonts w:hint="eastAsia" w:ascii="宋体" w:hAnsi="宋体" w:eastAsia="宋体" w:cs="宋体"/>
          <w:kern w:val="0"/>
        </w:rPr>
        <w:fldChar w:fldCharType="begin"/>
      </w:r>
      <w:r>
        <w:rPr>
          <w:rFonts w:hint="eastAsia" w:ascii="宋体" w:hAnsi="宋体" w:eastAsia="宋体" w:cs="宋体"/>
          <w:kern w:val="0"/>
        </w:rPr>
        <w:instrText xml:space="preserve"> = 5 \* GB2 </w:instrText>
      </w:r>
      <w:r>
        <w:rPr>
          <w:rFonts w:hint="eastAsia" w:ascii="宋体" w:hAnsi="宋体" w:eastAsia="宋体" w:cs="宋体"/>
          <w:kern w:val="0"/>
        </w:rPr>
        <w:fldChar w:fldCharType="separate"/>
      </w:r>
      <w:r>
        <w:rPr>
          <w:rFonts w:hint="eastAsia" w:ascii="宋体" w:hAnsi="宋体" w:eastAsia="宋体" w:cs="宋体"/>
          <w:kern w:val="0"/>
        </w:rPr>
        <w:t>⑸</w:t>
      </w:r>
      <w:r>
        <w:rPr>
          <w:rFonts w:hint="eastAsia" w:ascii="宋体" w:hAnsi="宋体" w:eastAsia="宋体" w:cs="宋体"/>
          <w:kern w:val="0"/>
        </w:rPr>
        <w:fldChar w:fldCharType="end"/>
      </w:r>
      <w:r>
        <w:rPr>
          <w:rFonts w:hint="eastAsia" w:ascii="宋体" w:hAnsi="宋体" w:eastAsia="宋体" w:cs="宋体"/>
          <w:kern w:val="0"/>
        </w:rPr>
        <w:t>承包人的管理人员在施工期间出现以下情况，应承担</w:t>
      </w:r>
      <w:r>
        <w:rPr>
          <w:rFonts w:hint="eastAsia" w:ascii="宋体" w:hAnsi="宋体" w:eastAsia="宋体" w:cs="宋体"/>
          <w:b/>
          <w:i/>
          <w:kern w:val="0"/>
        </w:rPr>
        <w:t>专用条款</w:t>
      </w:r>
      <w:r>
        <w:rPr>
          <w:rFonts w:hint="eastAsia" w:ascii="宋体" w:hAnsi="宋体" w:eastAsia="宋体" w:cs="宋体"/>
          <w:kern w:val="0"/>
        </w:rPr>
        <w:t>的约定的违约责任：</w:t>
      </w:r>
    </w:p>
    <w:p>
      <w:pPr>
        <w:tabs>
          <w:tab w:val="left" w:pos="1620"/>
          <w:tab w:val="left" w:pos="2340"/>
        </w:tabs>
        <w:ind w:left="899" w:firstLine="181"/>
        <w:jc w:val="left"/>
        <w:rPr>
          <w:rFonts w:hint="eastAsia" w:ascii="宋体" w:hAnsi="宋体" w:eastAsia="宋体" w:cs="宋体"/>
          <w:kern w:val="0"/>
        </w:rPr>
      </w:pPr>
      <w:r>
        <w:rPr>
          <w:rFonts w:hint="eastAsia" w:ascii="宋体" w:hAnsi="宋体" w:eastAsia="宋体" w:cs="宋体"/>
          <w:kern w:val="0"/>
        </w:rPr>
        <w:t>①承包人的项目管理机构设置与</w:t>
      </w:r>
      <w:r>
        <w:rPr>
          <w:rFonts w:hint="eastAsia" w:ascii="宋体" w:hAnsi="宋体" w:eastAsia="宋体" w:cs="宋体"/>
        </w:rPr>
        <w:t>投标文件</w:t>
      </w:r>
      <w:r>
        <w:rPr>
          <w:rFonts w:hint="eastAsia" w:ascii="宋体" w:hAnsi="宋体" w:eastAsia="宋体" w:cs="宋体"/>
          <w:kern w:val="0"/>
        </w:rPr>
        <w:t xml:space="preserve">的承诺不一致； </w:t>
      </w:r>
    </w:p>
    <w:p>
      <w:pPr>
        <w:tabs>
          <w:tab w:val="left" w:pos="1620"/>
          <w:tab w:val="left" w:pos="2340"/>
        </w:tabs>
        <w:ind w:left="899" w:firstLine="181"/>
        <w:jc w:val="left"/>
        <w:rPr>
          <w:rFonts w:hint="eastAsia" w:ascii="宋体" w:hAnsi="宋体" w:eastAsia="宋体" w:cs="宋体"/>
          <w:kern w:val="0"/>
        </w:rPr>
      </w:pPr>
      <w:r>
        <w:rPr>
          <w:rFonts w:hint="eastAsia" w:ascii="宋体" w:hAnsi="宋体" w:eastAsia="宋体" w:cs="宋体"/>
          <w:kern w:val="0"/>
        </w:rPr>
        <w:t>②承包人的主要施工管理人员不到位；</w:t>
      </w:r>
    </w:p>
    <w:p>
      <w:pPr>
        <w:tabs>
          <w:tab w:val="left" w:pos="1620"/>
          <w:tab w:val="left" w:pos="2340"/>
        </w:tabs>
        <w:ind w:left="899" w:firstLine="181"/>
        <w:jc w:val="left"/>
        <w:rPr>
          <w:rFonts w:hint="eastAsia" w:ascii="宋体" w:hAnsi="宋体" w:eastAsia="宋体" w:cs="宋体"/>
          <w:kern w:val="0"/>
        </w:rPr>
      </w:pPr>
      <w:r>
        <w:rPr>
          <w:rFonts w:hint="eastAsia" w:ascii="宋体" w:hAnsi="宋体" w:eastAsia="宋体" w:cs="宋体"/>
          <w:kern w:val="0"/>
        </w:rPr>
        <w:t>③未经发包人同意，承包人擅自更换主要施工管理人员；</w:t>
      </w:r>
    </w:p>
    <w:p>
      <w:pPr>
        <w:tabs>
          <w:tab w:val="left" w:pos="1620"/>
          <w:tab w:val="left" w:pos="2340"/>
        </w:tabs>
        <w:ind w:left="899" w:firstLine="181"/>
        <w:jc w:val="left"/>
        <w:rPr>
          <w:rFonts w:hint="eastAsia" w:ascii="宋体" w:hAnsi="宋体" w:eastAsia="宋体" w:cs="宋体"/>
          <w:kern w:val="0"/>
        </w:rPr>
      </w:pPr>
      <w:r>
        <w:rPr>
          <w:rFonts w:hint="eastAsia" w:ascii="宋体" w:hAnsi="宋体" w:eastAsia="宋体" w:cs="宋体"/>
          <w:kern w:val="0"/>
        </w:rPr>
        <w:t>④承包人的主要施工管理人员未经监理人或发包人同意擅自离开施工现场的；</w:t>
      </w:r>
    </w:p>
    <w:p>
      <w:pPr>
        <w:tabs>
          <w:tab w:val="left" w:pos="1620"/>
          <w:tab w:val="left" w:pos="2340"/>
        </w:tabs>
        <w:snapToGrid w:val="0"/>
        <w:spacing w:after="156"/>
        <w:ind w:left="902" w:firstLine="181"/>
        <w:jc w:val="left"/>
        <w:rPr>
          <w:rFonts w:hint="eastAsia" w:ascii="宋体" w:hAnsi="宋体" w:eastAsia="宋体" w:cs="宋体"/>
          <w:kern w:val="0"/>
        </w:rPr>
      </w:pPr>
      <w:r>
        <w:rPr>
          <w:rFonts w:hint="eastAsia" w:ascii="宋体" w:hAnsi="宋体" w:eastAsia="宋体" w:cs="宋体"/>
          <w:kern w:val="0"/>
        </w:rPr>
        <w:t>⑤承包人的主要施工管理人员同时兼任承包人其它工程项目的任何职务。</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⑹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w:t>
      </w:r>
      <w:r>
        <w:rPr>
          <w:rFonts w:hint="eastAsia" w:ascii="宋体" w:hAnsi="宋体" w:eastAsia="宋体" w:cs="宋体"/>
          <w:b/>
          <w:i/>
          <w:kern w:val="0"/>
        </w:rPr>
        <w:t>专用条款</w:t>
      </w:r>
      <w:r>
        <w:rPr>
          <w:rFonts w:hint="eastAsia" w:ascii="宋体" w:hAnsi="宋体" w:eastAsia="宋体" w:cs="宋体"/>
          <w:kern w:val="0"/>
        </w:rPr>
        <w:t>的约定承担违约责任。</w:t>
      </w:r>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310" w:name="_Toc67418515"/>
      <w:bookmarkStart w:id="311" w:name="_Toc302635727"/>
      <w:bookmarkStart w:id="312" w:name="_Toc16799"/>
      <w:bookmarkStart w:id="313" w:name="_Toc305331254"/>
      <w:r>
        <w:rPr>
          <w:rFonts w:hint="eastAsia" w:ascii="宋体" w:hAnsi="宋体" w:cs="宋体"/>
          <w:sz w:val="24"/>
          <w:szCs w:val="24"/>
          <w:lang w:val="en-US" w:eastAsia="zh-CN"/>
        </w:rPr>
        <w:t xml:space="preserve">4.7 </w:t>
      </w:r>
      <w:r>
        <w:rPr>
          <w:rFonts w:hint="eastAsia" w:ascii="宋体" w:hAnsi="宋体" w:eastAsia="宋体" w:cs="宋体"/>
          <w:sz w:val="24"/>
          <w:szCs w:val="24"/>
        </w:rPr>
        <w:t>联合体承包人</w:t>
      </w:r>
      <w:bookmarkEnd w:id="310"/>
      <w:bookmarkEnd w:id="311"/>
      <w:bookmarkEnd w:id="312"/>
      <w:bookmarkEnd w:id="313"/>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如果承包人是由两个或两个以上的当事人依法组成的联营体、联合体或其他形式的组合：</w:t>
      </w:r>
    </w:p>
    <w:p>
      <w:pPr>
        <w:tabs>
          <w:tab w:val="left" w:pos="1620"/>
          <w:tab w:val="left" w:pos="2340"/>
        </w:tabs>
        <w:ind w:left="899" w:firstLine="181"/>
        <w:jc w:val="left"/>
        <w:rPr>
          <w:rFonts w:hint="eastAsia" w:ascii="宋体" w:hAnsi="宋体" w:eastAsia="宋体" w:cs="宋体"/>
          <w:kern w:val="0"/>
        </w:rPr>
      </w:pPr>
      <w:r>
        <w:rPr>
          <w:rFonts w:hint="eastAsia" w:ascii="宋体" w:hAnsi="宋体" w:eastAsia="宋体" w:cs="宋体"/>
          <w:kern w:val="0"/>
        </w:rPr>
        <w:t>①各成员在履行合同上对发包人负有共同的和各自的责任；</w:t>
      </w:r>
    </w:p>
    <w:p>
      <w:pPr>
        <w:tabs>
          <w:tab w:val="left" w:pos="1620"/>
          <w:tab w:val="left" w:pos="2340"/>
        </w:tabs>
        <w:ind w:left="899" w:firstLine="181"/>
        <w:jc w:val="left"/>
        <w:rPr>
          <w:rFonts w:hint="eastAsia" w:ascii="宋体" w:hAnsi="宋体" w:eastAsia="宋体" w:cs="宋体"/>
          <w:kern w:val="0"/>
        </w:rPr>
      </w:pPr>
      <w:r>
        <w:rPr>
          <w:rFonts w:hint="eastAsia" w:ascii="宋体" w:hAnsi="宋体" w:eastAsia="宋体" w:cs="宋体"/>
          <w:kern w:val="0"/>
        </w:rPr>
        <w:t>②各成员应将有权约束承包人及其各自的负责人通知发包人；</w:t>
      </w:r>
    </w:p>
    <w:p>
      <w:pPr>
        <w:tabs>
          <w:tab w:val="left" w:pos="1620"/>
          <w:tab w:val="left" w:pos="2340"/>
        </w:tabs>
        <w:ind w:left="899" w:firstLine="181"/>
        <w:jc w:val="left"/>
        <w:rPr>
          <w:rFonts w:hint="eastAsia" w:ascii="宋体" w:hAnsi="宋体" w:eastAsia="宋体" w:cs="宋体"/>
          <w:kern w:val="0"/>
        </w:rPr>
      </w:pPr>
      <w:r>
        <w:rPr>
          <w:rFonts w:hint="eastAsia" w:ascii="宋体" w:hAnsi="宋体" w:eastAsia="宋体" w:cs="宋体"/>
          <w:kern w:val="0"/>
        </w:rPr>
        <w:t>③未经发包人事先同意，承包人不得改变其组成或法律地位；</w:t>
      </w:r>
    </w:p>
    <w:p>
      <w:pPr>
        <w:tabs>
          <w:tab w:val="left" w:pos="1620"/>
          <w:tab w:val="left" w:pos="2340"/>
        </w:tabs>
        <w:ind w:left="899" w:firstLine="181"/>
        <w:jc w:val="left"/>
        <w:rPr>
          <w:rFonts w:hint="eastAsia" w:ascii="宋体" w:hAnsi="宋体" w:eastAsia="宋体" w:cs="宋体"/>
          <w:kern w:val="0"/>
        </w:rPr>
      </w:pPr>
      <w:r>
        <w:rPr>
          <w:rFonts w:hint="eastAsia" w:ascii="宋体" w:hAnsi="宋体" w:eastAsia="宋体" w:cs="宋体"/>
          <w:kern w:val="0"/>
        </w:rPr>
        <w:t>④各成员的责任、权利、义务、合同价款的分配比例及方式在联合体协议中明确。</w:t>
      </w:r>
    </w:p>
    <w:p>
      <w:pPr>
        <w:pStyle w:val="2"/>
        <w:keepNext w:val="0"/>
        <w:keepLines w:val="0"/>
        <w:widowControl w:val="0"/>
        <w:tabs>
          <w:tab w:val="left" w:pos="540"/>
          <w:tab w:val="left" w:pos="1620"/>
          <w:tab w:val="left" w:pos="2340"/>
        </w:tabs>
        <w:spacing w:before="240" w:after="120"/>
        <w:ind w:left="178" w:firstLine="0"/>
        <w:rPr>
          <w:rFonts w:hint="eastAsia" w:ascii="宋体" w:hAnsi="宋体" w:eastAsia="宋体" w:cs="宋体"/>
        </w:rPr>
      </w:pPr>
      <w:bookmarkStart w:id="314" w:name="_Toc4409"/>
      <w:bookmarkStart w:id="315" w:name="_Toc67418516"/>
      <w:r>
        <w:rPr>
          <w:rFonts w:hint="eastAsia" w:ascii="宋体" w:cs="宋体"/>
          <w:lang w:val="en-US" w:eastAsia="zh-CN"/>
        </w:rPr>
        <w:t xml:space="preserve">5 </w:t>
      </w:r>
      <w:r>
        <w:rPr>
          <w:rFonts w:hint="eastAsia" w:ascii="宋体" w:hAnsi="宋体" w:eastAsia="宋体" w:cs="宋体"/>
        </w:rPr>
        <w:t>监理人</w:t>
      </w:r>
      <w:bookmarkEnd w:id="314"/>
      <w:bookmarkEnd w:id="315"/>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316" w:name="_Toc305331256"/>
      <w:bookmarkStart w:id="317" w:name="_Toc302635729"/>
      <w:bookmarkStart w:id="318" w:name="_Toc67418517"/>
      <w:bookmarkStart w:id="319" w:name="_Toc2538"/>
      <w:bookmarkStart w:id="320" w:name="_Toc34908961"/>
      <w:r>
        <w:rPr>
          <w:rFonts w:hint="eastAsia" w:ascii="宋体" w:hAnsi="宋体" w:cs="宋体"/>
          <w:sz w:val="24"/>
          <w:szCs w:val="24"/>
          <w:lang w:val="en-US" w:eastAsia="zh-CN"/>
        </w:rPr>
        <w:t xml:space="preserve">5.1 </w:t>
      </w:r>
      <w:r>
        <w:rPr>
          <w:rFonts w:hint="eastAsia" w:ascii="宋体" w:hAnsi="宋体" w:eastAsia="宋体" w:cs="宋体"/>
          <w:sz w:val="24"/>
          <w:szCs w:val="24"/>
        </w:rPr>
        <w:t>监理人的</w:t>
      </w:r>
      <w:bookmarkEnd w:id="316"/>
      <w:bookmarkEnd w:id="317"/>
      <w:r>
        <w:rPr>
          <w:rFonts w:hint="eastAsia" w:ascii="宋体" w:hAnsi="宋体" w:eastAsia="宋体" w:cs="宋体"/>
          <w:sz w:val="24"/>
          <w:szCs w:val="24"/>
        </w:rPr>
        <w:t>通知</w:t>
      </w:r>
      <w:bookmarkEnd w:id="318"/>
      <w:bookmarkEnd w:id="319"/>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发包人应在本合同</w:t>
      </w:r>
      <w:r>
        <w:rPr>
          <w:rFonts w:hint="eastAsia" w:ascii="宋体" w:hAnsi="宋体" w:eastAsia="宋体" w:cs="宋体"/>
          <w:b/>
          <w:i/>
          <w:kern w:val="0"/>
        </w:rPr>
        <w:t>专用条款</w:t>
      </w:r>
      <w:r>
        <w:rPr>
          <w:rFonts w:hint="eastAsia" w:ascii="宋体" w:hAnsi="宋体" w:eastAsia="宋体" w:cs="宋体"/>
          <w:kern w:val="0"/>
        </w:rPr>
        <w:t>中</w:t>
      </w:r>
      <w:bookmarkEnd w:id="320"/>
      <w:r>
        <w:rPr>
          <w:rFonts w:hint="eastAsia" w:ascii="宋体" w:hAnsi="宋体" w:eastAsia="宋体" w:cs="宋体"/>
          <w:kern w:val="0"/>
        </w:rPr>
        <w:t>列明监理人。实施监理的工程，发包人应在开工前将监理人和总监理工程师的名称、姓名、监理内容书面通知承包人。发包人如需更换监理人，应至少提前7天以书面形式通知承包人。</w:t>
      </w:r>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321" w:name="_Toc4176"/>
      <w:bookmarkStart w:id="322" w:name="_Toc305331257"/>
      <w:bookmarkStart w:id="323" w:name="_Toc67418518"/>
      <w:bookmarkStart w:id="324" w:name="_Toc302635730"/>
      <w:bookmarkStart w:id="325" w:name="_Toc34908962"/>
      <w:r>
        <w:rPr>
          <w:rFonts w:hint="eastAsia" w:ascii="宋体" w:hAnsi="宋体" w:cs="宋体"/>
          <w:sz w:val="24"/>
          <w:szCs w:val="24"/>
          <w:lang w:val="en-US" w:eastAsia="zh-CN"/>
        </w:rPr>
        <w:t xml:space="preserve">5.2 </w:t>
      </w:r>
      <w:r>
        <w:rPr>
          <w:rFonts w:hint="eastAsia" w:ascii="宋体" w:hAnsi="宋体" w:eastAsia="宋体" w:cs="宋体"/>
          <w:sz w:val="24"/>
          <w:szCs w:val="24"/>
        </w:rPr>
        <w:t>监理人的职权</w:t>
      </w:r>
      <w:bookmarkEnd w:id="321"/>
      <w:bookmarkEnd w:id="322"/>
      <w:bookmarkEnd w:id="323"/>
      <w:bookmarkEnd w:id="324"/>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监理人应履行本合同条款约定的职责，行使本合同订明或必然隐含的权力。除合同明确说明外，监理人无权修改合同，亦无权免除承包人在合同内的任何职责和义务。监理人在履行和行使其职权时，其任何行为或遗漏，不免除承包人履行合同约定的任何职责和义务。</w:t>
      </w:r>
      <w:bookmarkEnd w:id="325"/>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326" w:name="_Toc67418519"/>
      <w:bookmarkStart w:id="327" w:name="_Toc30433"/>
      <w:bookmarkStart w:id="328" w:name="_Toc305331258"/>
      <w:bookmarkStart w:id="329" w:name="_Toc302635731"/>
      <w:bookmarkStart w:id="330" w:name="_Toc34908963"/>
      <w:r>
        <w:rPr>
          <w:rFonts w:hint="eastAsia" w:ascii="宋体" w:hAnsi="宋体" w:cs="宋体"/>
          <w:sz w:val="24"/>
          <w:szCs w:val="24"/>
          <w:lang w:val="en-US" w:eastAsia="zh-CN"/>
        </w:rPr>
        <w:t xml:space="preserve">5.3 </w:t>
      </w:r>
      <w:r>
        <w:rPr>
          <w:rFonts w:hint="eastAsia" w:ascii="宋体" w:hAnsi="宋体" w:eastAsia="宋体" w:cs="宋体"/>
          <w:sz w:val="24"/>
          <w:szCs w:val="24"/>
        </w:rPr>
        <w:t>监理人权力的限制</w:t>
      </w:r>
      <w:bookmarkEnd w:id="326"/>
      <w:bookmarkEnd w:id="327"/>
      <w:bookmarkEnd w:id="328"/>
      <w:bookmarkEnd w:id="329"/>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⑴监理人行使下列权力时，应先取得发包人的批准。但是，当监理人行使下列需经发包人批准的权力时，应视为发包人已予批准：</w:t>
      </w:r>
      <w:bookmarkEnd w:id="330"/>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①发布开工令、停工令、复工令；</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②向设计人或承包人提出建议且提出的建议可能会提高工程造价或延误工期；</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③对本工程任何形式、数量、质量、价款和内容上的变动；</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④对合同约定的承包人职责和义务进行变更；</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⑤提出或批准索赔；</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⑥签发工程款支付证书；</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⑦合同条款中明确约定应取得发包人批准的其他权力；</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⑧</w:t>
      </w:r>
      <w:r>
        <w:rPr>
          <w:rFonts w:hint="eastAsia" w:ascii="宋体" w:hAnsi="宋体" w:eastAsia="宋体" w:cs="宋体"/>
          <w:b/>
          <w:i/>
          <w:kern w:val="0"/>
        </w:rPr>
        <w:t>专用条款</w:t>
      </w:r>
      <w:r>
        <w:rPr>
          <w:rFonts w:hint="eastAsia" w:ascii="宋体" w:hAnsi="宋体" w:eastAsia="宋体" w:cs="宋体"/>
          <w:kern w:val="0"/>
        </w:rPr>
        <w:t>中明确的其他需经发包人批准的权力。</w:t>
      </w:r>
    </w:p>
    <w:p>
      <w:pPr>
        <w:tabs>
          <w:tab w:val="left" w:pos="1620"/>
          <w:tab w:val="left" w:pos="2340"/>
        </w:tabs>
        <w:spacing w:before="156" w:after="156"/>
        <w:ind w:left="899"/>
        <w:jc w:val="left"/>
        <w:rPr>
          <w:rFonts w:hint="eastAsia" w:ascii="宋体" w:hAnsi="宋体" w:eastAsia="宋体" w:cs="宋体"/>
          <w:kern w:val="0"/>
        </w:rPr>
      </w:pPr>
      <w:bookmarkStart w:id="331" w:name="_Toc34908964"/>
      <w:r>
        <w:rPr>
          <w:rFonts w:hint="eastAsia" w:ascii="宋体" w:hAnsi="宋体" w:eastAsia="宋体" w:cs="宋体"/>
          <w:kern w:val="0"/>
        </w:rPr>
        <w:t>⑵当监理人认为出现了危及人身、财产安全和立即影响工程安危的紧急情况，且不可能在事前把情况报告给发包人时，在不免除合同约定的承包人的任何职责和义务的情况下，监理人</w:t>
      </w:r>
      <w:bookmarkEnd w:id="331"/>
      <w:r>
        <w:rPr>
          <w:rFonts w:hint="eastAsia" w:ascii="宋体" w:hAnsi="宋体" w:eastAsia="宋体" w:cs="宋体"/>
          <w:kern w:val="0"/>
        </w:rPr>
        <w:t>可先行行使5.3款⑴中的权力，并应在事后24小时内向发包人作出书面报告。</w:t>
      </w:r>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332" w:name="_Toc302635732"/>
      <w:bookmarkStart w:id="333" w:name="_Toc67418520"/>
      <w:bookmarkStart w:id="334" w:name="_Toc13391"/>
      <w:bookmarkStart w:id="335" w:name="_Toc34908965"/>
      <w:r>
        <w:rPr>
          <w:rFonts w:hint="eastAsia" w:ascii="宋体" w:hAnsi="宋体" w:cs="宋体"/>
          <w:sz w:val="24"/>
          <w:szCs w:val="24"/>
          <w:lang w:val="en-US" w:eastAsia="zh-CN"/>
        </w:rPr>
        <w:t xml:space="preserve">5.4 </w:t>
      </w:r>
      <w:r>
        <w:rPr>
          <w:rFonts w:hint="eastAsia" w:ascii="宋体" w:hAnsi="宋体" w:eastAsia="宋体" w:cs="宋体"/>
          <w:sz w:val="24"/>
          <w:szCs w:val="24"/>
        </w:rPr>
        <w:t>总监理工程师</w:t>
      </w:r>
      <w:bookmarkEnd w:id="332"/>
      <w:bookmarkEnd w:id="333"/>
      <w:bookmarkEnd w:id="334"/>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监理人可随时将其任何职责和权力授予其任命的总监理工程师(按有关规定或发包人指定必须由监理人亲自履行的职权不得转授)，亦可随时将其授予总监理工程师的任何职权撤回。任何此类授权和撤回应由监理人提前7天以书面形式通知发包人和承包人，在未将有关文件副本送交承包人之前，该项授权和撤回不能生效。</w:t>
      </w:r>
      <w:bookmarkEnd w:id="335"/>
      <w:bookmarkStart w:id="336" w:name="_Toc34908966"/>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⑵总监理工程师对监理人负责，履行和行使监理人授予的职责和权力。总监理工程师在其授权范围内履行职权时，视同监理人。</w:t>
      </w:r>
      <w:bookmarkEnd w:id="336"/>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337" w:name="_Toc67418521"/>
      <w:bookmarkStart w:id="338" w:name="_Toc19793"/>
      <w:bookmarkStart w:id="339" w:name="_Toc305331260"/>
      <w:bookmarkStart w:id="340" w:name="_Toc302635733"/>
      <w:bookmarkStart w:id="341" w:name="_Toc34908969"/>
      <w:r>
        <w:rPr>
          <w:rFonts w:hint="eastAsia" w:ascii="宋体" w:hAnsi="宋体" w:cs="宋体"/>
          <w:sz w:val="24"/>
          <w:szCs w:val="24"/>
          <w:lang w:val="en-US" w:eastAsia="zh-CN"/>
        </w:rPr>
        <w:t xml:space="preserve">5.5 </w:t>
      </w:r>
      <w:r>
        <w:rPr>
          <w:rFonts w:hint="eastAsia" w:ascii="宋体" w:hAnsi="宋体" w:eastAsia="宋体" w:cs="宋体"/>
          <w:sz w:val="24"/>
          <w:szCs w:val="24"/>
        </w:rPr>
        <w:t>监理人指令</w:t>
      </w:r>
      <w:bookmarkEnd w:id="337"/>
      <w:bookmarkEnd w:id="338"/>
      <w:bookmarkEnd w:id="339"/>
      <w:bookmarkEnd w:id="340"/>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⑴监理人应按合同约定，及时向承包人提供所需的指令。监理人的指令以书面形式送达项目经理，项目经理在回执上签署姓名和收到时间后生效。</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必要时，监理人可以发出口头指令，并在48小时内给予书面确认。对监理人的口头指令，承包人应予执行。如承包人在监理人发出的口头指令48小时之后，未收到监理人的书面确认，应在监理人发出口头指令后7天内提出书面确认要求，监理人应在承包人提出书面确认要求后48小时内给予答复，逾期不予答复的，视为口头指令已被确认。</w:t>
      </w:r>
      <w:bookmarkEnd w:id="341"/>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承包人认为监理人的指令不合理，应在收到指令后24小时内向监理人报告，监理人应在收到承包人报告后24小时内作出修改指令或继续执行原指令的决定，通知承包人。监理人逾期未回复的，承包人有权拒绝执行上述指示。</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⑷监理人对承包人的任何工作、工程或其采用的材料和工程设备未在约定的或合理期限内提出意见的，视为批准，但不免除或减轻承包人对该工作、工程、材料、工程设备等应承担的责任和义务。</w:t>
      </w:r>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342" w:name="_Toc67418522"/>
      <w:bookmarkStart w:id="343" w:name="_Toc305331261"/>
      <w:bookmarkStart w:id="344" w:name="_Toc302635734"/>
      <w:bookmarkStart w:id="345" w:name="_Toc24665"/>
      <w:r>
        <w:rPr>
          <w:rFonts w:hint="eastAsia" w:ascii="宋体" w:hAnsi="宋体" w:cs="宋体"/>
          <w:sz w:val="24"/>
          <w:szCs w:val="24"/>
          <w:lang w:val="en-US" w:eastAsia="zh-CN"/>
        </w:rPr>
        <w:t xml:space="preserve">5.6 </w:t>
      </w:r>
      <w:r>
        <w:rPr>
          <w:rFonts w:hint="eastAsia" w:ascii="宋体" w:hAnsi="宋体" w:eastAsia="宋体" w:cs="宋体"/>
          <w:sz w:val="24"/>
          <w:szCs w:val="24"/>
        </w:rPr>
        <w:t>监理人未尽义务或失误</w:t>
      </w:r>
      <w:bookmarkEnd w:id="342"/>
      <w:bookmarkEnd w:id="343"/>
      <w:bookmarkEnd w:id="344"/>
      <w:bookmarkEnd w:id="345"/>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监理人应按本合同约定，及时向承包人提供所需的指令、批准并履行约定的其他义务。因监理人未能按合同约定履行义务或因监理人的失误，给承包人造成损失和(或)导致工期延误的，发包人应赔偿承包人的损失，顺延延误的工期。</w:t>
      </w:r>
    </w:p>
    <w:p>
      <w:pPr>
        <w:pStyle w:val="2"/>
        <w:keepNext w:val="0"/>
        <w:keepLines w:val="0"/>
        <w:widowControl w:val="0"/>
        <w:tabs>
          <w:tab w:val="left" w:pos="540"/>
          <w:tab w:val="left" w:pos="1620"/>
          <w:tab w:val="left" w:pos="2340"/>
        </w:tabs>
        <w:spacing w:before="240" w:after="120"/>
        <w:ind w:left="178" w:firstLine="0"/>
        <w:rPr>
          <w:rFonts w:hint="eastAsia" w:ascii="宋体" w:hAnsi="宋体" w:eastAsia="宋体" w:cs="宋体"/>
        </w:rPr>
      </w:pPr>
      <w:bookmarkStart w:id="346" w:name="_Toc302635736"/>
      <w:bookmarkStart w:id="347" w:name="_Toc305331262"/>
      <w:bookmarkStart w:id="348" w:name="_Toc22347"/>
      <w:bookmarkStart w:id="349" w:name="_Toc34908976"/>
      <w:bookmarkStart w:id="350" w:name="_Toc35656971"/>
      <w:bookmarkStart w:id="351" w:name="_Toc67418523"/>
      <w:r>
        <w:rPr>
          <w:rFonts w:hint="eastAsia" w:ascii="宋体" w:cs="宋体"/>
          <w:lang w:val="en-US" w:eastAsia="zh-CN"/>
        </w:rPr>
        <w:t xml:space="preserve">6 </w:t>
      </w:r>
      <w:r>
        <w:rPr>
          <w:rFonts w:hint="eastAsia" w:ascii="宋体" w:hAnsi="宋体" w:eastAsia="宋体" w:cs="宋体"/>
        </w:rPr>
        <w:t>转让、分包</w:t>
      </w:r>
      <w:bookmarkEnd w:id="346"/>
      <w:bookmarkEnd w:id="347"/>
      <w:bookmarkEnd w:id="348"/>
      <w:bookmarkEnd w:id="349"/>
      <w:bookmarkEnd w:id="350"/>
      <w:bookmarkEnd w:id="351"/>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352" w:name="_Toc34908977"/>
      <w:bookmarkStart w:id="353" w:name="_Toc35656470"/>
      <w:bookmarkStart w:id="354" w:name="_Toc35656972"/>
      <w:bookmarkStart w:id="355" w:name="_Toc67418524"/>
      <w:bookmarkStart w:id="356" w:name="_Toc17352"/>
      <w:bookmarkStart w:id="357" w:name="_Toc302635737"/>
      <w:bookmarkStart w:id="358" w:name="_Toc305331263"/>
      <w:r>
        <w:rPr>
          <w:rFonts w:hint="eastAsia" w:ascii="宋体" w:hAnsi="宋体" w:cs="宋体"/>
          <w:sz w:val="24"/>
          <w:szCs w:val="24"/>
          <w:lang w:val="en-US" w:eastAsia="zh-CN"/>
        </w:rPr>
        <w:t xml:space="preserve">6.1 </w:t>
      </w:r>
      <w:r>
        <w:rPr>
          <w:rFonts w:hint="eastAsia" w:ascii="宋体" w:hAnsi="宋体" w:eastAsia="宋体" w:cs="宋体"/>
          <w:sz w:val="24"/>
          <w:szCs w:val="24"/>
        </w:rPr>
        <w:t>转让</w:t>
      </w:r>
      <w:bookmarkEnd w:id="352"/>
      <w:bookmarkEnd w:id="353"/>
      <w:bookmarkEnd w:id="354"/>
      <w:bookmarkEnd w:id="355"/>
      <w:bookmarkEnd w:id="356"/>
      <w:bookmarkEnd w:id="357"/>
      <w:bookmarkEnd w:id="358"/>
    </w:p>
    <w:p>
      <w:pPr>
        <w:tabs>
          <w:tab w:val="left" w:pos="1620"/>
          <w:tab w:val="left" w:pos="2340"/>
        </w:tabs>
        <w:spacing w:after="156"/>
        <w:ind w:left="899"/>
        <w:jc w:val="left"/>
        <w:rPr>
          <w:rFonts w:hint="eastAsia" w:ascii="宋体" w:hAnsi="宋体" w:eastAsia="宋体" w:cs="宋体"/>
          <w:kern w:val="0"/>
        </w:rPr>
      </w:pPr>
      <w:bookmarkStart w:id="359" w:name="_Toc34908978"/>
      <w:r>
        <w:rPr>
          <w:rFonts w:hint="eastAsia" w:ascii="宋体" w:hAnsi="宋体" w:eastAsia="宋体" w:cs="宋体"/>
          <w:kern w:val="0"/>
        </w:rPr>
        <w:t>承包人不得将本合同的全部工程或其中任何部分转让给其他单位或个人。</w:t>
      </w:r>
      <w:bookmarkEnd w:id="359"/>
      <w:r>
        <w:rPr>
          <w:rFonts w:hint="eastAsia" w:ascii="宋体" w:hAnsi="宋体" w:eastAsia="宋体" w:cs="宋体"/>
          <w:kern w:val="0"/>
        </w:rPr>
        <w:t>如承包人有上述转让行为，按照</w:t>
      </w:r>
      <w:r>
        <w:rPr>
          <w:rFonts w:hint="eastAsia" w:ascii="宋体" w:hAnsi="宋体" w:eastAsia="宋体" w:cs="宋体"/>
          <w:b/>
          <w:i/>
          <w:kern w:val="0"/>
        </w:rPr>
        <w:t>专用条款</w:t>
      </w:r>
      <w:r>
        <w:rPr>
          <w:rFonts w:hint="eastAsia" w:ascii="宋体" w:hAnsi="宋体" w:eastAsia="宋体" w:cs="宋体"/>
          <w:kern w:val="0"/>
        </w:rPr>
        <w:t>的约定承担违约责任。</w:t>
      </w:r>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360" w:name="_Toc67418525"/>
      <w:bookmarkStart w:id="361" w:name="_Toc9735"/>
      <w:bookmarkStart w:id="362" w:name="_Toc305331264"/>
      <w:bookmarkStart w:id="363" w:name="_Toc302635738"/>
      <w:bookmarkStart w:id="364" w:name="_Toc34908979"/>
      <w:bookmarkStart w:id="365" w:name="_Toc35656973"/>
      <w:bookmarkStart w:id="366" w:name="_Toc35656471"/>
      <w:r>
        <w:rPr>
          <w:rFonts w:hint="eastAsia" w:ascii="宋体" w:hAnsi="宋体" w:cs="宋体"/>
          <w:sz w:val="24"/>
          <w:szCs w:val="24"/>
          <w:lang w:val="en-US" w:eastAsia="zh-CN"/>
        </w:rPr>
        <w:t xml:space="preserve">6.2 </w:t>
      </w:r>
      <w:r>
        <w:rPr>
          <w:rFonts w:hint="eastAsia" w:ascii="宋体" w:hAnsi="宋体" w:eastAsia="宋体" w:cs="宋体"/>
          <w:sz w:val="24"/>
          <w:szCs w:val="24"/>
        </w:rPr>
        <w:t>分包</w:t>
      </w:r>
      <w:bookmarkEnd w:id="360"/>
      <w:bookmarkEnd w:id="361"/>
      <w:bookmarkEnd w:id="362"/>
      <w:bookmarkEnd w:id="363"/>
    </w:p>
    <w:bookmarkEnd w:id="364"/>
    <w:bookmarkEnd w:id="365"/>
    <w:bookmarkEnd w:id="366"/>
    <w:p>
      <w:pPr>
        <w:tabs>
          <w:tab w:val="left" w:pos="1620"/>
          <w:tab w:val="left" w:pos="2340"/>
        </w:tabs>
        <w:spacing w:after="156"/>
        <w:ind w:left="899"/>
        <w:jc w:val="left"/>
        <w:rPr>
          <w:rFonts w:hint="eastAsia" w:ascii="宋体" w:hAnsi="宋体" w:eastAsia="宋体" w:cs="宋体"/>
          <w:kern w:val="0"/>
        </w:rPr>
      </w:pPr>
      <w:bookmarkStart w:id="367" w:name="_Toc34908984"/>
      <w:bookmarkStart w:id="368" w:name="_Toc34908982"/>
      <w:r>
        <w:rPr>
          <w:rFonts w:hint="eastAsia" w:ascii="宋体" w:hAnsi="宋体" w:eastAsia="宋体" w:cs="宋体"/>
          <w:kern w:val="0"/>
        </w:rPr>
        <w:t>⑴如承包人不具备其本工程承包范围内的某专业工程的专项施工资质时，应对该专业工程实施分包</w:t>
      </w:r>
      <w:bookmarkEnd w:id="367"/>
      <w:r>
        <w:rPr>
          <w:rFonts w:hint="eastAsia" w:ascii="宋体" w:hAnsi="宋体" w:eastAsia="宋体" w:cs="宋体"/>
          <w:kern w:val="0"/>
        </w:rPr>
        <w:t>。</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⑵承包人不得将工程主体结构、关键性工作及</w:t>
      </w:r>
      <w:r>
        <w:rPr>
          <w:rFonts w:hint="eastAsia" w:ascii="宋体" w:hAnsi="宋体" w:eastAsia="宋体" w:cs="宋体"/>
          <w:b/>
          <w:i/>
          <w:kern w:val="0"/>
        </w:rPr>
        <w:t>专用条款</w:t>
      </w:r>
      <w:r>
        <w:rPr>
          <w:rFonts w:hint="eastAsia" w:ascii="宋体" w:hAnsi="宋体" w:eastAsia="宋体" w:cs="宋体"/>
          <w:kern w:val="0"/>
        </w:rPr>
        <w:t>中禁止分包的专业工程分包给第三人，主体结构、关键性工作的范围由承发包双方按照法律规定在</w:t>
      </w:r>
      <w:r>
        <w:rPr>
          <w:rFonts w:hint="eastAsia" w:ascii="宋体" w:hAnsi="宋体" w:eastAsia="宋体" w:cs="宋体"/>
          <w:b/>
          <w:i/>
          <w:kern w:val="0"/>
        </w:rPr>
        <w:t>专用条款</w:t>
      </w:r>
      <w:r>
        <w:rPr>
          <w:rFonts w:hint="eastAsia" w:ascii="宋体" w:hAnsi="宋体" w:eastAsia="宋体" w:cs="宋体"/>
          <w:kern w:val="0"/>
        </w:rPr>
        <w:t>中予以明确。</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⑶未报经监理人审查并取得发包人批准，承包人不得将其本工程承包范围内的任何部分工程分包。如承包人有未经发包人同意的分包行为，按照</w:t>
      </w:r>
      <w:r>
        <w:rPr>
          <w:rFonts w:hint="eastAsia" w:ascii="宋体" w:hAnsi="宋体" w:eastAsia="宋体" w:cs="宋体"/>
          <w:b/>
          <w:i/>
          <w:kern w:val="0"/>
        </w:rPr>
        <w:t>专用条款</w:t>
      </w:r>
      <w:r>
        <w:rPr>
          <w:rFonts w:hint="eastAsia" w:ascii="宋体" w:hAnsi="宋体" w:eastAsia="宋体" w:cs="宋体"/>
          <w:kern w:val="0"/>
        </w:rPr>
        <w:t>的约定承担违约责任。</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⑷承包人应禁止分包人将分包工程的任何部分再分包。如出现分包人将分包工程的任何部分再分包的行为，承包人应按照</w:t>
      </w:r>
      <w:r>
        <w:rPr>
          <w:rFonts w:hint="eastAsia" w:ascii="宋体" w:hAnsi="宋体" w:eastAsia="宋体" w:cs="宋体"/>
          <w:b/>
          <w:i/>
          <w:kern w:val="0"/>
        </w:rPr>
        <w:t>专用条款</w:t>
      </w:r>
      <w:r>
        <w:rPr>
          <w:rFonts w:hint="eastAsia" w:ascii="宋体" w:hAnsi="宋体" w:eastAsia="宋体" w:cs="宋体"/>
          <w:kern w:val="0"/>
        </w:rPr>
        <w:t>的约定承担违约责任。</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fldChar w:fldCharType="begin"/>
      </w:r>
      <w:r>
        <w:rPr>
          <w:rFonts w:hint="eastAsia" w:ascii="宋体" w:hAnsi="宋体" w:eastAsia="宋体" w:cs="宋体"/>
          <w:kern w:val="0"/>
        </w:rPr>
        <w:instrText xml:space="preserve"> = 5 \* GB2 </w:instrText>
      </w:r>
      <w:r>
        <w:rPr>
          <w:rFonts w:hint="eastAsia" w:ascii="宋体" w:hAnsi="宋体" w:eastAsia="宋体" w:cs="宋体"/>
          <w:kern w:val="0"/>
        </w:rPr>
        <w:fldChar w:fldCharType="separate"/>
      </w:r>
      <w:r>
        <w:rPr>
          <w:rFonts w:hint="eastAsia" w:ascii="宋体" w:hAnsi="宋体" w:eastAsia="宋体" w:cs="宋体"/>
          <w:kern w:val="0"/>
        </w:rPr>
        <w:t>⑸</w:t>
      </w:r>
      <w:r>
        <w:rPr>
          <w:rFonts w:hint="eastAsia" w:ascii="宋体" w:hAnsi="宋体" w:eastAsia="宋体" w:cs="宋体"/>
          <w:kern w:val="0"/>
        </w:rPr>
        <w:fldChar w:fldCharType="end"/>
      </w:r>
      <w:r>
        <w:rPr>
          <w:rFonts w:hint="eastAsia" w:ascii="宋体" w:hAnsi="宋体" w:eastAsia="宋体" w:cs="宋体"/>
          <w:kern w:val="0"/>
        </w:rPr>
        <w:t>承包人不得将其承包范围内全部工程肢解分包。如承包人有将其承包范围内全部工程肢解分包的行为，按照</w:t>
      </w:r>
      <w:r>
        <w:rPr>
          <w:rFonts w:hint="eastAsia" w:ascii="宋体" w:hAnsi="宋体" w:eastAsia="宋体" w:cs="宋体"/>
          <w:b/>
          <w:i/>
          <w:kern w:val="0"/>
        </w:rPr>
        <w:t>专用条款</w:t>
      </w:r>
      <w:r>
        <w:rPr>
          <w:rFonts w:hint="eastAsia" w:ascii="宋体" w:hAnsi="宋体" w:eastAsia="宋体" w:cs="宋体"/>
          <w:kern w:val="0"/>
        </w:rPr>
        <w:t>的约定承担违约责任。</w:t>
      </w:r>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369" w:name="_Toc302635739"/>
      <w:bookmarkStart w:id="370" w:name="_Toc67418526"/>
      <w:bookmarkStart w:id="371" w:name="_Toc305331265"/>
      <w:bookmarkStart w:id="372" w:name="_Toc29974"/>
      <w:r>
        <w:rPr>
          <w:rFonts w:hint="eastAsia" w:ascii="宋体" w:hAnsi="宋体" w:cs="宋体"/>
          <w:sz w:val="24"/>
          <w:szCs w:val="24"/>
          <w:lang w:val="en-US" w:eastAsia="zh-CN"/>
        </w:rPr>
        <w:t xml:space="preserve">6.3 </w:t>
      </w:r>
      <w:r>
        <w:rPr>
          <w:rFonts w:hint="eastAsia" w:ascii="宋体" w:hAnsi="宋体" w:eastAsia="宋体" w:cs="宋体"/>
          <w:sz w:val="24"/>
          <w:szCs w:val="24"/>
        </w:rPr>
        <w:t>分包人的确定</w:t>
      </w:r>
      <w:bookmarkEnd w:id="369"/>
      <w:bookmarkEnd w:id="370"/>
      <w:bookmarkEnd w:id="371"/>
      <w:bookmarkEnd w:id="372"/>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⑴承包人按照6.2⑴款对某专业工程实施分包时，分包人必须具备承建该专业工程的施工资质条件，同时满足</w:t>
      </w:r>
      <w:r>
        <w:rPr>
          <w:rFonts w:hint="eastAsia" w:ascii="宋体" w:hAnsi="宋体" w:eastAsia="宋体" w:cs="宋体"/>
          <w:b/>
          <w:i/>
          <w:kern w:val="0"/>
        </w:rPr>
        <w:t>专用条款</w:t>
      </w:r>
      <w:r>
        <w:rPr>
          <w:rFonts w:hint="eastAsia" w:ascii="宋体" w:hAnsi="宋体" w:eastAsia="宋体" w:cs="宋体"/>
          <w:kern w:val="0"/>
        </w:rPr>
        <w:t>约定的条件。</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⑵选择分包人时，承包人有义务依据监理人的要求向监理人提供拟选分包人的一切资料，经发包人和监理人批准后作为分包人。</w:t>
      </w:r>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373" w:name="_Toc305331266"/>
      <w:bookmarkStart w:id="374" w:name="_Toc8115"/>
      <w:bookmarkStart w:id="375" w:name="_Toc302635740"/>
      <w:bookmarkStart w:id="376" w:name="_Toc67418527"/>
      <w:r>
        <w:rPr>
          <w:rFonts w:hint="eastAsia" w:ascii="宋体" w:hAnsi="宋体" w:cs="宋体"/>
          <w:sz w:val="24"/>
          <w:szCs w:val="24"/>
          <w:lang w:val="en-US" w:eastAsia="zh-CN"/>
        </w:rPr>
        <w:t xml:space="preserve">6.4 </w:t>
      </w:r>
      <w:r>
        <w:rPr>
          <w:rFonts w:hint="eastAsia" w:ascii="宋体" w:hAnsi="宋体" w:eastAsia="宋体" w:cs="宋体"/>
          <w:sz w:val="24"/>
          <w:szCs w:val="24"/>
        </w:rPr>
        <w:t>分包合同</w:t>
      </w:r>
      <w:bookmarkEnd w:id="373"/>
      <w:bookmarkEnd w:id="374"/>
      <w:bookmarkEnd w:id="375"/>
      <w:bookmarkEnd w:id="376"/>
    </w:p>
    <w:bookmarkEnd w:id="368"/>
    <w:p>
      <w:pPr>
        <w:tabs>
          <w:tab w:val="left" w:pos="1620"/>
          <w:tab w:val="left" w:pos="2340"/>
        </w:tabs>
        <w:spacing w:after="156"/>
        <w:ind w:left="899"/>
        <w:jc w:val="left"/>
        <w:rPr>
          <w:rFonts w:hint="eastAsia" w:ascii="宋体" w:hAnsi="宋体" w:eastAsia="宋体" w:cs="宋体"/>
          <w:kern w:val="0"/>
        </w:rPr>
      </w:pPr>
      <w:bookmarkStart w:id="377" w:name="_Toc34908985"/>
      <w:r>
        <w:rPr>
          <w:rFonts w:hint="eastAsia" w:ascii="宋体" w:hAnsi="宋体" w:eastAsia="宋体" w:cs="宋体"/>
          <w:kern w:val="0"/>
        </w:rPr>
        <w:t>⑴承包人与分包人签订分包合同后7天内，应将分包合同送发包人</w:t>
      </w:r>
      <w:r>
        <w:rPr>
          <w:rFonts w:hint="eastAsia" w:ascii="宋体" w:hAnsi="宋体" w:eastAsia="宋体" w:cs="宋体"/>
        </w:rPr>
        <w:t>和监理人各一份</w:t>
      </w:r>
      <w:r>
        <w:rPr>
          <w:rFonts w:hint="eastAsia" w:ascii="宋体" w:hAnsi="宋体" w:eastAsia="宋体" w:cs="宋体"/>
          <w:kern w:val="0"/>
        </w:rPr>
        <w:t>存档。</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承包人对分包合同承担连带责任。分包合同不解除本合同约定承包人的任何义务与责任，承包人在分包工程现场应派驻监督管理人员，保证分包合同的履行。分包人的任何违约或疏忽，均视为承包人违约或疏忽。</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⑶分包工程价款由承包人与分包人结算。</w:t>
      </w:r>
      <w:bookmarkEnd w:id="377"/>
      <w:bookmarkStart w:id="378" w:name="_Toc34908983"/>
      <w:r>
        <w:rPr>
          <w:rFonts w:hint="eastAsia" w:ascii="宋体" w:hAnsi="宋体" w:eastAsia="宋体" w:cs="宋体"/>
          <w:kern w:val="0"/>
        </w:rPr>
        <w:t>除本合同另有约定或取得承包人的同意外，发包人不得以任何形式向分包人支付各种工程价款。</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⑷承包人有义务向发包人提供其向分包人支付工程款项的证明。如承包人有拖欠分包人工程款项行为的，视为承包人违约，</w:t>
      </w:r>
      <w:r>
        <w:rPr>
          <w:rFonts w:hint="eastAsia" w:ascii="宋体" w:hAnsi="宋体" w:eastAsia="宋体" w:cs="宋体"/>
        </w:rPr>
        <w:t>发包人有权直接向分包人支付承包人未支付的应得款项，</w:t>
      </w:r>
      <w:r>
        <w:rPr>
          <w:rFonts w:hint="eastAsia" w:ascii="宋体" w:hAnsi="宋体" w:eastAsia="宋体" w:cs="宋体"/>
          <w:kern w:val="0"/>
        </w:rPr>
        <w:t>并从承包人的应得工程款项中抵扣。</w:t>
      </w:r>
    </w:p>
    <w:bookmarkEnd w:id="378"/>
    <w:p>
      <w:pPr>
        <w:pStyle w:val="2"/>
        <w:keepNext w:val="0"/>
        <w:keepLines w:val="0"/>
        <w:widowControl w:val="0"/>
        <w:tabs>
          <w:tab w:val="left" w:pos="540"/>
          <w:tab w:val="left" w:pos="1620"/>
          <w:tab w:val="left" w:pos="2340"/>
        </w:tabs>
        <w:spacing w:before="240" w:after="120"/>
        <w:ind w:left="178" w:firstLine="0"/>
        <w:rPr>
          <w:rFonts w:hint="eastAsia" w:ascii="宋体" w:hAnsi="宋体" w:eastAsia="宋体" w:cs="宋体"/>
        </w:rPr>
      </w:pPr>
      <w:bookmarkStart w:id="379" w:name="_Toc67418528"/>
      <w:bookmarkStart w:id="380" w:name="_Toc11503"/>
      <w:bookmarkStart w:id="381" w:name="_Toc305331267"/>
      <w:bookmarkStart w:id="382" w:name="_Toc302635741"/>
      <w:r>
        <w:rPr>
          <w:rFonts w:hint="eastAsia" w:ascii="宋体" w:cs="宋体"/>
          <w:lang w:val="en-US" w:eastAsia="zh-CN"/>
        </w:rPr>
        <w:t xml:space="preserve">7 </w:t>
      </w:r>
      <w:r>
        <w:rPr>
          <w:rFonts w:hint="eastAsia" w:ascii="宋体" w:hAnsi="宋体" w:eastAsia="宋体" w:cs="宋体"/>
        </w:rPr>
        <w:t>专业工程发包</w:t>
      </w:r>
      <w:bookmarkEnd w:id="379"/>
      <w:bookmarkEnd w:id="380"/>
      <w:bookmarkEnd w:id="381"/>
      <w:bookmarkEnd w:id="382"/>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383" w:name="_Toc67418529"/>
      <w:bookmarkStart w:id="384" w:name="_Toc8376"/>
      <w:bookmarkStart w:id="385" w:name="_Toc305331268"/>
      <w:bookmarkStart w:id="386" w:name="_Toc302635742"/>
      <w:r>
        <w:rPr>
          <w:rFonts w:hint="eastAsia" w:ascii="宋体" w:hAnsi="宋体" w:cs="宋体"/>
          <w:sz w:val="24"/>
          <w:szCs w:val="24"/>
          <w:lang w:val="en-US" w:eastAsia="zh-CN"/>
        </w:rPr>
        <w:t xml:space="preserve">7.1 </w:t>
      </w:r>
      <w:r>
        <w:rPr>
          <w:rFonts w:hint="eastAsia" w:ascii="宋体" w:hAnsi="宋体" w:eastAsia="宋体" w:cs="宋体"/>
          <w:sz w:val="24"/>
          <w:szCs w:val="24"/>
        </w:rPr>
        <w:t>专业工程承包人</w:t>
      </w:r>
      <w:bookmarkEnd w:id="383"/>
      <w:bookmarkEnd w:id="384"/>
      <w:bookmarkEnd w:id="385"/>
      <w:bookmarkEnd w:id="386"/>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⑴发包人可将本工程中承包人承包范围以外的专业工程，按照有关法律、法规的规定另行组织招标确定专业工程承包人，并在</w:t>
      </w:r>
      <w:r>
        <w:rPr>
          <w:rFonts w:hint="eastAsia" w:ascii="宋体" w:hAnsi="宋体" w:eastAsia="宋体" w:cs="宋体"/>
          <w:b/>
          <w:i/>
          <w:kern w:val="0"/>
        </w:rPr>
        <w:t>专用条款</w:t>
      </w:r>
      <w:r>
        <w:rPr>
          <w:rFonts w:hint="eastAsia" w:ascii="宋体" w:hAnsi="宋体" w:eastAsia="宋体" w:cs="宋体"/>
          <w:kern w:val="0"/>
        </w:rPr>
        <w:t>中明确另行发包的专业工程以及专业工程承包人。</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专业工程施工合同由发包人与专业工程承包人签订。发包人应保障承包人免于承担应由专业工程承包人承担的责任和义务，任何由于专业工程承包人未履行上述责任和义务，或由于专业工程承包人的过失而造成的任何损失，承包人免于承担。</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⑶专业工程承包人应接受承包人的统一协调管理，施工中协作配合。</w:t>
      </w:r>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387" w:name="_Toc27348"/>
      <w:bookmarkStart w:id="388" w:name="_Toc67418530"/>
      <w:bookmarkStart w:id="389" w:name="_Toc305331269"/>
      <w:bookmarkStart w:id="390" w:name="_Toc302635743"/>
      <w:r>
        <w:rPr>
          <w:rFonts w:hint="eastAsia" w:ascii="宋体" w:hAnsi="宋体" w:cs="宋体"/>
          <w:sz w:val="24"/>
          <w:szCs w:val="24"/>
          <w:lang w:val="en-US" w:eastAsia="zh-CN"/>
        </w:rPr>
        <w:t xml:space="preserve">7.2 </w:t>
      </w:r>
      <w:r>
        <w:rPr>
          <w:rFonts w:hint="eastAsia" w:ascii="宋体" w:hAnsi="宋体" w:eastAsia="宋体" w:cs="宋体"/>
          <w:sz w:val="24"/>
          <w:szCs w:val="24"/>
        </w:rPr>
        <w:t>总承包服务费</w:t>
      </w:r>
      <w:bookmarkEnd w:id="387"/>
      <w:bookmarkEnd w:id="388"/>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总承包服务费是承包人为配合协调发包人进行的专业工程发包、对发包人自行采购的材料与设备等进行保管以及施工现场管理、竣工资料汇总整理等服务所需的费用。包括总包管理服务费和发包人供应材料（设备）保管费，其对应的工作内容可在</w:t>
      </w:r>
      <w:r>
        <w:rPr>
          <w:rFonts w:hint="eastAsia" w:ascii="宋体" w:hAnsi="宋体" w:eastAsia="宋体" w:cs="宋体"/>
          <w:b/>
          <w:i/>
          <w:kern w:val="0"/>
        </w:rPr>
        <w:t>专用条款</w:t>
      </w:r>
      <w:r>
        <w:rPr>
          <w:rFonts w:hint="eastAsia" w:ascii="宋体" w:hAnsi="宋体" w:eastAsia="宋体" w:cs="宋体"/>
          <w:kern w:val="0"/>
        </w:rPr>
        <w:t>中详细约定。</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⑵发包人自行发包的专业工程需要使用承包人设施或其提供的服务，其费用已包含在总包工程费用或该分包工程费用中，可由专业工程承包人和承包人根据该设施或服务情况协商支付，不得向发包人另行索要。</w:t>
      </w:r>
    </w:p>
    <w:bookmarkEnd w:id="389"/>
    <w:bookmarkEnd w:id="390"/>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391" w:name="_Toc305331271"/>
      <w:bookmarkStart w:id="392" w:name="_Toc302635745"/>
      <w:bookmarkStart w:id="393" w:name="_Toc29768"/>
      <w:bookmarkStart w:id="394" w:name="_Toc67418531"/>
      <w:r>
        <w:rPr>
          <w:rFonts w:hint="eastAsia" w:ascii="宋体" w:hAnsi="宋体" w:cs="宋体"/>
          <w:sz w:val="24"/>
          <w:szCs w:val="24"/>
          <w:lang w:val="en-US" w:eastAsia="zh-CN"/>
        </w:rPr>
        <w:t xml:space="preserve">7.3 </w:t>
      </w:r>
      <w:r>
        <w:rPr>
          <w:rFonts w:hint="eastAsia" w:ascii="宋体" w:hAnsi="宋体" w:eastAsia="宋体" w:cs="宋体"/>
          <w:sz w:val="24"/>
          <w:szCs w:val="24"/>
        </w:rPr>
        <w:t>工作界面协调</w:t>
      </w:r>
      <w:bookmarkEnd w:id="391"/>
      <w:bookmarkEnd w:id="392"/>
      <w:bookmarkEnd w:id="393"/>
      <w:bookmarkEnd w:id="394"/>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⑴承包人应做好与本工程相关各专业工作界面的协调工作。本工程施工期间，承包人应无条件服从发包人及监理人的统一协调指令，并指定专人负责接口协调工作，确保发包人及监理人指令的及时实施。</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承包人在编制施工组织设计时，应根据设计文件和现场调查资料，充分考虑施工接口的部位及内容，制定可能引起接口部位安全质量问题的预防措施；及时向监理人提交本工程需其它专业工程提供接口的细目清单，交由监理人统一协调；或接受监理人的接口指令，及时实施接口指令作业。</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⑶承包人与其它工程之间应当就施工接口、测量控制网点、预埋件(预留孔洞)位置和尺寸等资料及时互通信息，中线控制桩点应贯通测定，水准点应相互闭合，以确保施工顺利进行，避免工程质量事故的发生。</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⑷由于承包人未能及时对工程接口问题进行协调或未及时实施监理人接口指令而造成工程延误、返工或其它损失，所有损失和费用由承包人承担。发包人或监理人均有权根据实际情况，要求承包人支付</w:t>
      </w:r>
      <w:r>
        <w:rPr>
          <w:rFonts w:hint="eastAsia" w:ascii="宋体" w:hAnsi="宋体" w:eastAsia="宋体" w:cs="宋体"/>
          <w:b/>
          <w:i/>
          <w:kern w:val="0"/>
        </w:rPr>
        <w:t>专用条款</w:t>
      </w:r>
      <w:r>
        <w:rPr>
          <w:rFonts w:hint="eastAsia" w:ascii="宋体" w:hAnsi="宋体" w:eastAsia="宋体" w:cs="宋体"/>
          <w:kern w:val="0"/>
        </w:rPr>
        <w:t>约定的违约金，包括并不限于采取扣付工程款等方式。</w:t>
      </w:r>
    </w:p>
    <w:p>
      <w:pPr>
        <w:pStyle w:val="2"/>
        <w:keepNext w:val="0"/>
        <w:keepLines w:val="0"/>
        <w:widowControl w:val="0"/>
        <w:tabs>
          <w:tab w:val="left" w:pos="540"/>
          <w:tab w:val="left" w:pos="1620"/>
          <w:tab w:val="left" w:pos="2340"/>
        </w:tabs>
        <w:spacing w:before="240" w:after="120"/>
        <w:ind w:left="178" w:firstLine="0"/>
        <w:rPr>
          <w:rFonts w:hint="eastAsia" w:ascii="宋体" w:hAnsi="宋体" w:eastAsia="宋体" w:cs="宋体"/>
        </w:rPr>
      </w:pPr>
      <w:bookmarkStart w:id="395" w:name="_Toc67418532"/>
      <w:bookmarkStart w:id="396" w:name="_Toc305331272"/>
      <w:bookmarkStart w:id="397" w:name="_Toc302635746"/>
      <w:bookmarkStart w:id="398" w:name="_Toc22534"/>
      <w:r>
        <w:rPr>
          <w:rFonts w:hint="eastAsia" w:ascii="宋体" w:cs="宋体"/>
          <w:lang w:val="en-US" w:eastAsia="zh-CN"/>
        </w:rPr>
        <w:t xml:space="preserve">8 </w:t>
      </w:r>
      <w:r>
        <w:rPr>
          <w:rFonts w:hint="eastAsia" w:ascii="宋体" w:hAnsi="宋体" w:eastAsia="宋体" w:cs="宋体"/>
        </w:rPr>
        <w:t>用工和劳务</w:t>
      </w:r>
      <w:bookmarkEnd w:id="395"/>
      <w:bookmarkEnd w:id="396"/>
      <w:bookmarkEnd w:id="397"/>
      <w:bookmarkEnd w:id="398"/>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399" w:name="_Toc17963"/>
      <w:bookmarkStart w:id="400" w:name="_Toc67418533"/>
      <w:bookmarkStart w:id="401" w:name="_Toc302635747"/>
      <w:bookmarkStart w:id="402" w:name="_Toc305331273"/>
      <w:r>
        <w:rPr>
          <w:rFonts w:hint="eastAsia" w:ascii="宋体" w:hAnsi="宋体" w:cs="宋体"/>
          <w:sz w:val="24"/>
          <w:szCs w:val="24"/>
          <w:lang w:val="en-US" w:eastAsia="zh-CN"/>
        </w:rPr>
        <w:t xml:space="preserve">8.1 </w:t>
      </w:r>
      <w:r>
        <w:rPr>
          <w:rFonts w:hint="eastAsia" w:ascii="宋体" w:hAnsi="宋体" w:eastAsia="宋体" w:cs="宋体"/>
          <w:sz w:val="24"/>
          <w:szCs w:val="24"/>
        </w:rPr>
        <w:t>劳动合同</w:t>
      </w:r>
      <w:bookmarkEnd w:id="399"/>
      <w:bookmarkEnd w:id="400"/>
      <w:bookmarkEnd w:id="401"/>
      <w:bookmarkEnd w:id="402"/>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⑴除合同另有规定外，承包人应自行聘(雇)用工人。承包人不得从为发包人或监理人服务的人员中招雇任何人员。</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⑵承包人应按照劳动法和劳动合同法的相关规定与聘(雇)用工人签订劳动合同，缴纳社会保险，按国家规定提供劳动保护，明确劳动报酬等内容，及时足额支付工资等劳动报酬。</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⑶若发包人或监理人发现有未签订劳动合同的工人在现场施工，则视为承包人违约，并承担</w:t>
      </w:r>
      <w:r>
        <w:rPr>
          <w:rFonts w:hint="eastAsia" w:ascii="宋体" w:hAnsi="宋体" w:eastAsia="宋体" w:cs="宋体"/>
          <w:b/>
          <w:i/>
          <w:kern w:val="0"/>
        </w:rPr>
        <w:t>专用条款</w:t>
      </w:r>
      <w:r>
        <w:rPr>
          <w:rFonts w:hint="eastAsia" w:ascii="宋体" w:hAnsi="宋体" w:eastAsia="宋体" w:cs="宋体"/>
          <w:kern w:val="0"/>
        </w:rPr>
        <w:t>约定的违约责任。</w:t>
      </w:r>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403" w:name="_Toc305331274"/>
      <w:bookmarkStart w:id="404" w:name="_Toc8845"/>
      <w:bookmarkStart w:id="405" w:name="_Toc302635748"/>
      <w:bookmarkStart w:id="406" w:name="_Toc67418534"/>
      <w:r>
        <w:rPr>
          <w:rFonts w:hint="eastAsia" w:ascii="宋体" w:hAnsi="宋体" w:cs="宋体"/>
          <w:sz w:val="24"/>
          <w:szCs w:val="24"/>
          <w:lang w:val="en-US" w:eastAsia="zh-CN"/>
        </w:rPr>
        <w:t xml:space="preserve">8.2 </w:t>
      </w:r>
      <w:r>
        <w:rPr>
          <w:rFonts w:hint="eastAsia" w:ascii="宋体" w:hAnsi="宋体" w:eastAsia="宋体" w:cs="宋体"/>
          <w:sz w:val="24"/>
          <w:szCs w:val="24"/>
        </w:rPr>
        <w:t>劳务分包</w:t>
      </w:r>
      <w:bookmarkEnd w:id="403"/>
      <w:bookmarkEnd w:id="404"/>
      <w:bookmarkEnd w:id="405"/>
      <w:bookmarkEnd w:id="406"/>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⑴承包人实施劳务分包的，应将劳务发包给具有相应劳务资质的劳务企业，与劳务分包企业设立工人工资支付专用账户，并按照劳务分包合同约定及时足额向劳务企业支付劳务费用。</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⑵承包人应在劳务分包合同中要求劳务分包企业对所有派遣工人购买意外伤害险和工伤保险，保险金额不得低于</w:t>
      </w:r>
      <w:r>
        <w:rPr>
          <w:rFonts w:hint="eastAsia" w:ascii="宋体" w:hAnsi="宋体" w:eastAsia="宋体" w:cs="宋体"/>
          <w:b/>
          <w:i/>
          <w:kern w:val="0"/>
        </w:rPr>
        <w:t>专用条款</w:t>
      </w:r>
      <w:r>
        <w:rPr>
          <w:rFonts w:hint="eastAsia" w:ascii="宋体" w:hAnsi="宋体" w:eastAsia="宋体" w:cs="宋体"/>
          <w:kern w:val="0"/>
        </w:rPr>
        <w:t>约定额度。保险单复印件应提供一份给发包人备案，承包人未对劳务分包企业提出此要求或虽然提出此要求但劳务企业未购买此保险的，承包人应完善相关购买手续，否则承包人与劳务分包企业向受伤害工人承担连带赔偿责任。</w:t>
      </w:r>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407" w:name="_Toc305331275"/>
      <w:bookmarkStart w:id="408" w:name="_Toc302635749"/>
      <w:bookmarkStart w:id="409" w:name="_Toc38"/>
      <w:bookmarkStart w:id="410" w:name="_Toc67418535"/>
      <w:r>
        <w:rPr>
          <w:rFonts w:hint="eastAsia" w:ascii="宋体" w:hAnsi="宋体" w:cs="宋体"/>
          <w:sz w:val="24"/>
          <w:szCs w:val="24"/>
          <w:lang w:val="en-US" w:eastAsia="zh-CN"/>
        </w:rPr>
        <w:t xml:space="preserve">8.3 </w:t>
      </w:r>
      <w:r>
        <w:rPr>
          <w:rFonts w:hint="eastAsia" w:ascii="宋体" w:hAnsi="宋体" w:eastAsia="宋体" w:cs="宋体"/>
          <w:sz w:val="24"/>
          <w:szCs w:val="24"/>
        </w:rPr>
        <w:t>劳务分包合同</w:t>
      </w:r>
      <w:bookmarkEnd w:id="407"/>
      <w:bookmarkEnd w:id="408"/>
      <w:bookmarkEnd w:id="409"/>
      <w:bookmarkEnd w:id="410"/>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⑴选择劳务分包企业时，承包人有义务依据监理人的要求向监理人提供拟选劳务分包企业的一切资料，经发包人和监理人批准后作为劳务分包企业。</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⑵承包人与劳务分包企业签订劳务分包合同后7天内，应将劳务分包合同送发包人</w:t>
      </w:r>
      <w:r>
        <w:rPr>
          <w:rFonts w:hint="eastAsia" w:ascii="宋体" w:hAnsi="宋体" w:eastAsia="宋体" w:cs="宋体"/>
        </w:rPr>
        <w:t>和监理人各一份</w:t>
      </w:r>
      <w:r>
        <w:rPr>
          <w:rFonts w:hint="eastAsia" w:ascii="宋体" w:hAnsi="宋体" w:eastAsia="宋体" w:cs="宋体"/>
          <w:kern w:val="0"/>
        </w:rPr>
        <w:t>存档。</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⑶若发包人或监理人发现工地上有未签订劳务分包合同的劳务企业人员在现场施工，则视为承包人违约，并承担</w:t>
      </w:r>
      <w:r>
        <w:rPr>
          <w:rFonts w:hint="eastAsia" w:ascii="宋体" w:hAnsi="宋体" w:eastAsia="宋体" w:cs="宋体"/>
          <w:b/>
          <w:i/>
          <w:kern w:val="0"/>
        </w:rPr>
        <w:t>专用条款</w:t>
      </w:r>
      <w:r>
        <w:rPr>
          <w:rFonts w:hint="eastAsia" w:ascii="宋体" w:hAnsi="宋体" w:eastAsia="宋体" w:cs="宋体"/>
          <w:kern w:val="0"/>
        </w:rPr>
        <w:t>约定的违约责任。</w:t>
      </w:r>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411" w:name="_Toc67418536"/>
      <w:bookmarkStart w:id="412" w:name="_Toc305331276"/>
      <w:bookmarkStart w:id="413" w:name="_Toc302635750"/>
      <w:bookmarkStart w:id="414" w:name="_Toc6542"/>
      <w:r>
        <w:rPr>
          <w:rFonts w:hint="eastAsia" w:ascii="宋体" w:hAnsi="宋体" w:cs="宋体"/>
          <w:sz w:val="24"/>
          <w:szCs w:val="24"/>
          <w:lang w:val="en-US" w:eastAsia="zh-CN"/>
        </w:rPr>
        <w:t xml:space="preserve">8.4 </w:t>
      </w:r>
      <w:r>
        <w:rPr>
          <w:rFonts w:hint="eastAsia" w:ascii="宋体" w:hAnsi="宋体" w:eastAsia="宋体" w:cs="宋体"/>
          <w:sz w:val="24"/>
          <w:szCs w:val="24"/>
        </w:rPr>
        <w:t>工人工资</w:t>
      </w:r>
      <w:bookmarkEnd w:id="411"/>
      <w:bookmarkEnd w:id="412"/>
      <w:bookmarkEnd w:id="413"/>
      <w:bookmarkEnd w:id="414"/>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⑴承包人应按照有关规定开设工人工资专用账户，专项用于发放本工程工人工资。开设、使用工人工资专用账户有关资料应由承包人妥善保存备查。</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⑵发包人应及时足额地将合同约定的工人工资支付款项支付到工人工资专用账户，并加强对承包人按时足额发放工人工资的监督。</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承包人必须严格按照国家、省、市等有关规定发放工资、劳务费。对发包人支付的工程款，承包人须优先保障工人工资和劳务分包企业的劳务费的发放。对发包人支付到工人工资专用账户的款项，承包人应及时足额发放，不得拖欠或克扣。</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⑷承包人拖欠工人工资或劳务分包企业劳务费用的，经被拖欠人催付，承包人仍不予支付的，被拖欠人可以向发包人请求代为支付，经发包人和监理人核查情况属实的，视为承包人违约，发包人有权</w:t>
      </w:r>
      <w:r>
        <w:rPr>
          <w:rFonts w:hint="eastAsia" w:ascii="宋体" w:hAnsi="宋体" w:eastAsia="宋体" w:cs="宋体"/>
        </w:rPr>
        <w:t>从承包人的工程款(或预付款、保证金等)中扣付拖欠的工人工资或劳务费</w:t>
      </w:r>
      <w:r>
        <w:rPr>
          <w:rFonts w:hint="eastAsia" w:ascii="宋体" w:hAnsi="宋体" w:eastAsia="宋体" w:cs="宋体"/>
          <w:kern w:val="0"/>
        </w:rPr>
        <w:t>。</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415" w:name="_Toc67418537"/>
      <w:bookmarkStart w:id="416" w:name="_Toc22388"/>
      <w:bookmarkStart w:id="417" w:name="_Toc302635818"/>
      <w:r>
        <w:rPr>
          <w:rFonts w:hint="eastAsia" w:ascii="宋体" w:hAnsi="宋体" w:cs="宋体"/>
          <w:sz w:val="24"/>
          <w:szCs w:val="24"/>
          <w:lang w:val="en-US" w:eastAsia="zh-CN"/>
        </w:rPr>
        <w:t xml:space="preserve">8.5 </w:t>
      </w:r>
      <w:r>
        <w:rPr>
          <w:rFonts w:hint="eastAsia" w:ascii="宋体" w:hAnsi="宋体" w:eastAsia="宋体" w:cs="宋体"/>
          <w:sz w:val="24"/>
          <w:szCs w:val="24"/>
        </w:rPr>
        <w:t>职业健康</w:t>
      </w:r>
      <w:bookmarkEnd w:id="415"/>
      <w:bookmarkEnd w:id="416"/>
      <w:bookmarkEnd w:id="417"/>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承包人应按照法律规定安排现场施工人员的劳动和休息时间，保障工人的休息时间，并支付合理的报酬和费用。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418" w:name="_Toc23893"/>
      <w:bookmarkStart w:id="419" w:name="_Toc67418538"/>
      <w:r>
        <w:rPr>
          <w:rFonts w:hint="eastAsia" w:ascii="宋体" w:hAnsi="宋体" w:cs="宋体"/>
          <w:sz w:val="24"/>
          <w:szCs w:val="24"/>
          <w:lang w:val="en-US" w:eastAsia="zh-CN"/>
        </w:rPr>
        <w:t xml:space="preserve">8.6 </w:t>
      </w:r>
      <w:r>
        <w:rPr>
          <w:rFonts w:hint="eastAsia" w:ascii="宋体" w:hAnsi="宋体" w:eastAsia="宋体" w:cs="宋体"/>
          <w:sz w:val="24"/>
          <w:szCs w:val="24"/>
        </w:rPr>
        <w:t>用工培训</w:t>
      </w:r>
      <w:bookmarkEnd w:id="418"/>
      <w:bookmarkEnd w:id="419"/>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⑴承包人应切实履行用工主体责任，按照有关规定足额提取和使用职工教育经费及开展一线工人训练。</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承包人应按季度制定工人训练计划，严格执行工人先训练后上岗制度。工人需完成质量安全基础训练后方能进入施工现场作业，质量安全基础训练内容包括职业素养、安全知识、操作规程、工伤预防、职业健康、紧急救护等。</w:t>
      </w:r>
    </w:p>
    <w:p>
      <w:pPr>
        <w:pStyle w:val="2"/>
        <w:keepNext w:val="0"/>
        <w:keepLines w:val="0"/>
        <w:widowControl w:val="0"/>
        <w:tabs>
          <w:tab w:val="left" w:pos="540"/>
          <w:tab w:val="left" w:pos="1620"/>
          <w:tab w:val="left" w:pos="2340"/>
        </w:tabs>
        <w:spacing w:before="240" w:after="120"/>
        <w:ind w:left="178" w:firstLine="0"/>
        <w:rPr>
          <w:rFonts w:hint="eastAsia" w:ascii="宋体" w:hAnsi="宋体" w:eastAsia="宋体" w:cs="宋体"/>
        </w:rPr>
      </w:pPr>
      <w:bookmarkStart w:id="420" w:name="_Toc35656474"/>
      <w:bookmarkStart w:id="421" w:name="_Toc34908991"/>
      <w:bookmarkStart w:id="422" w:name="_Toc13095"/>
      <w:bookmarkStart w:id="423" w:name="_Toc35656976"/>
      <w:bookmarkStart w:id="424" w:name="_Toc67418539"/>
      <w:bookmarkStart w:id="425" w:name="_Toc305331278"/>
      <w:bookmarkStart w:id="426" w:name="_Toc302635752"/>
      <w:r>
        <w:rPr>
          <w:rFonts w:hint="eastAsia" w:ascii="宋体" w:cs="宋体"/>
          <w:lang w:val="en-US" w:eastAsia="zh-CN"/>
        </w:rPr>
        <w:t xml:space="preserve">9 </w:t>
      </w:r>
      <w:r>
        <w:rPr>
          <w:rFonts w:hint="eastAsia" w:ascii="宋体" w:hAnsi="宋体" w:eastAsia="宋体" w:cs="宋体"/>
        </w:rPr>
        <w:t>施工组织设计和进度计划</w:t>
      </w:r>
      <w:bookmarkEnd w:id="420"/>
      <w:bookmarkEnd w:id="421"/>
      <w:bookmarkEnd w:id="422"/>
      <w:bookmarkEnd w:id="423"/>
      <w:bookmarkEnd w:id="424"/>
      <w:bookmarkEnd w:id="425"/>
      <w:bookmarkEnd w:id="426"/>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427" w:name="_Toc67418540"/>
      <w:bookmarkStart w:id="428" w:name="_Toc305331279"/>
      <w:bookmarkStart w:id="429" w:name="_Toc18626"/>
      <w:bookmarkStart w:id="430" w:name="_Toc302635753"/>
      <w:bookmarkStart w:id="431" w:name="_Toc34908992"/>
      <w:r>
        <w:rPr>
          <w:rFonts w:hint="eastAsia" w:ascii="宋体" w:hAnsi="宋体" w:cs="宋体"/>
          <w:sz w:val="24"/>
          <w:szCs w:val="24"/>
          <w:lang w:val="en-US" w:eastAsia="zh-CN"/>
        </w:rPr>
        <w:t xml:space="preserve">9.1 </w:t>
      </w:r>
      <w:r>
        <w:rPr>
          <w:rFonts w:hint="eastAsia" w:ascii="宋体" w:hAnsi="宋体" w:eastAsia="宋体" w:cs="宋体"/>
          <w:sz w:val="24"/>
          <w:szCs w:val="24"/>
        </w:rPr>
        <w:t>施工组织设计和进度计划的编制与提交</w:t>
      </w:r>
      <w:bookmarkEnd w:id="427"/>
      <w:bookmarkEnd w:id="428"/>
      <w:bookmarkEnd w:id="429"/>
      <w:bookmarkEnd w:id="430"/>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⑴承包人应编制本工程和</w:t>
      </w:r>
      <w:r>
        <w:rPr>
          <w:rFonts w:hint="eastAsia" w:ascii="宋体" w:hAnsi="宋体" w:eastAsia="宋体" w:cs="宋体"/>
          <w:b/>
          <w:i/>
          <w:kern w:val="0"/>
        </w:rPr>
        <w:t>专用条款</w:t>
      </w:r>
      <w:r>
        <w:rPr>
          <w:rFonts w:hint="eastAsia" w:ascii="宋体" w:hAnsi="宋体" w:eastAsia="宋体" w:cs="宋体"/>
          <w:kern w:val="0"/>
        </w:rPr>
        <w:t>约定的单项工程的施工组织设计和进度计划</w:t>
      </w:r>
      <w:bookmarkEnd w:id="431"/>
      <w:bookmarkStart w:id="432" w:name="_Toc34908993"/>
      <w:r>
        <w:rPr>
          <w:rFonts w:hint="eastAsia" w:ascii="宋体" w:hAnsi="宋体" w:eastAsia="宋体" w:cs="宋体"/>
          <w:kern w:val="0"/>
        </w:rPr>
        <w:t>，对合同工程的全部施工作业提出总体上的施工方法、施工安排、作业顺序和时间表。施工组织设计应包含以下内容：</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①施工方案；</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②施工现场平面布置图；</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③施工进度计划和保证措施；</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④劳动力及材料供应计划；</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⑤施工机械设备的选用；</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⑥质量保证体系及措施；</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⑦安全生产、文明施工措施；</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⑧环境保护、成本控制措施；</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⑨承发包双方约定的其他内容。</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⑵承包人应按</w:t>
      </w:r>
      <w:r>
        <w:rPr>
          <w:rFonts w:hint="eastAsia" w:ascii="宋体" w:hAnsi="宋体" w:eastAsia="宋体" w:cs="宋体"/>
          <w:b/>
          <w:i/>
          <w:kern w:val="0"/>
        </w:rPr>
        <w:t>专用条款</w:t>
      </w:r>
      <w:r>
        <w:rPr>
          <w:rFonts w:hint="eastAsia" w:ascii="宋体" w:hAnsi="宋体" w:eastAsia="宋体" w:cs="宋体"/>
          <w:kern w:val="0"/>
        </w:rPr>
        <w:t>中约定的时间和要求向监理人提交施工组织设计和工程进度计划。监理人应按</w:t>
      </w:r>
      <w:r>
        <w:rPr>
          <w:rFonts w:hint="eastAsia" w:ascii="宋体" w:hAnsi="宋体" w:eastAsia="宋体" w:cs="宋体"/>
          <w:b/>
          <w:i/>
          <w:kern w:val="0"/>
        </w:rPr>
        <w:t>专用条款</w:t>
      </w:r>
      <w:r>
        <w:rPr>
          <w:rFonts w:hint="eastAsia" w:ascii="宋体" w:hAnsi="宋体" w:eastAsia="宋体" w:cs="宋体"/>
          <w:kern w:val="0"/>
        </w:rPr>
        <w:t>中约定的时间予以确认或提出修改意见，逾期不确认也不提出修改意见的，应视为同意。</w:t>
      </w:r>
      <w:bookmarkEnd w:id="432"/>
      <w:r>
        <w:rPr>
          <w:rFonts w:hint="eastAsia" w:ascii="宋体" w:hAnsi="宋体" w:eastAsia="宋体" w:cs="宋体"/>
          <w:kern w:val="0"/>
        </w:rPr>
        <w:t>监理人如期提出合理修改意见的，承包人应根据该意见按</w:t>
      </w:r>
      <w:r>
        <w:rPr>
          <w:rFonts w:hint="eastAsia" w:ascii="宋体" w:hAnsi="宋体" w:eastAsia="宋体" w:cs="宋体"/>
          <w:b/>
          <w:i/>
          <w:kern w:val="0"/>
        </w:rPr>
        <w:t>专用条款</w:t>
      </w:r>
      <w:r>
        <w:rPr>
          <w:rFonts w:hint="eastAsia" w:ascii="宋体" w:hAnsi="宋体" w:eastAsia="宋体" w:cs="宋体"/>
          <w:kern w:val="0"/>
        </w:rPr>
        <w:t>约定的时间或要求提交修改后的施工组织设计和工程进度计划，待监理人确认后执行。监理人对上述计划的同意，不能因此而解除承包人根据本合同约定应负的任何责任或义务。</w:t>
      </w:r>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433" w:name="_Toc67418541"/>
      <w:bookmarkStart w:id="434" w:name="_Toc6763"/>
      <w:bookmarkStart w:id="435" w:name="_Toc302635754"/>
      <w:bookmarkStart w:id="436" w:name="_Toc305331280"/>
      <w:r>
        <w:rPr>
          <w:rFonts w:hint="eastAsia" w:ascii="宋体" w:hAnsi="宋体" w:cs="宋体"/>
          <w:sz w:val="24"/>
          <w:szCs w:val="24"/>
          <w:lang w:val="en-US" w:eastAsia="zh-CN"/>
        </w:rPr>
        <w:t xml:space="preserve">9.2 </w:t>
      </w:r>
      <w:r>
        <w:rPr>
          <w:rFonts w:hint="eastAsia" w:ascii="宋体" w:hAnsi="宋体" w:eastAsia="宋体" w:cs="宋体"/>
          <w:sz w:val="24"/>
          <w:szCs w:val="24"/>
        </w:rPr>
        <w:t>临时设施的图纸和文件</w:t>
      </w:r>
      <w:bookmarkEnd w:id="433"/>
      <w:bookmarkEnd w:id="434"/>
      <w:bookmarkEnd w:id="435"/>
      <w:bookmarkEnd w:id="436"/>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承包人应在施工组织设计提交的同时，向监理人报送本工程临时设施的图纸和资料文件。其内容包括(但不限于)临时设施总平面布置图及必要的文字说明，如生产、生活设施、水电供应、道路、排水系统、环保环卫、安全防护措施，相关管理制度(办法)等必要的文字说明和图表资料，经批准后实施。</w:t>
      </w:r>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437" w:name="_Toc305331281"/>
      <w:bookmarkStart w:id="438" w:name="_Toc67418542"/>
      <w:bookmarkStart w:id="439" w:name="_Toc302635755"/>
      <w:bookmarkStart w:id="440" w:name="_Toc9972"/>
      <w:r>
        <w:rPr>
          <w:rFonts w:hint="eastAsia" w:ascii="宋体" w:hAnsi="宋体" w:cs="宋体"/>
          <w:sz w:val="24"/>
          <w:szCs w:val="24"/>
          <w:lang w:val="en-US" w:eastAsia="zh-CN"/>
        </w:rPr>
        <w:t xml:space="preserve">9.3 </w:t>
      </w:r>
      <w:r>
        <w:rPr>
          <w:rFonts w:hint="eastAsia" w:ascii="宋体" w:hAnsi="宋体" w:eastAsia="宋体" w:cs="宋体"/>
          <w:sz w:val="24"/>
          <w:szCs w:val="24"/>
        </w:rPr>
        <w:t>工程进度计划</w:t>
      </w:r>
      <w:bookmarkEnd w:id="437"/>
      <w:bookmarkEnd w:id="438"/>
      <w:bookmarkEnd w:id="439"/>
      <w:bookmarkEnd w:id="440"/>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工程进度计划应按照关键线路网络图和主要工作横道图两种形式分别编绘，并应包括每月预计完成的工作量和形象进度，在需要时每个月修正一次。承包人必须按监理人确认的进度计划组织施工，接受监理人对进度的检查、监督。工程实际进度对于在竣工时间内完工过于迟缓或与经确认的进度计划不符时，承包人应按监理人的要求和建议进行整改并提交修订的进度计划，经监理人确认后执行。因承包人的原因导致实际进度与进度计划不符，承包人无权就改进措施提出追加合同价款。</w:t>
      </w:r>
    </w:p>
    <w:p>
      <w:pPr>
        <w:pStyle w:val="3"/>
        <w:tabs>
          <w:tab w:val="left" w:pos="540"/>
          <w:tab w:val="left" w:pos="900"/>
          <w:tab w:val="left" w:pos="2340"/>
        </w:tabs>
        <w:spacing w:before="120" w:after="156"/>
        <w:ind w:left="359" w:firstLine="0"/>
        <w:jc w:val="left"/>
        <w:rPr>
          <w:rFonts w:hint="eastAsia" w:ascii="宋体" w:hAnsi="宋体" w:eastAsia="宋体" w:cs="宋体"/>
          <w:sz w:val="24"/>
          <w:szCs w:val="24"/>
        </w:rPr>
      </w:pPr>
      <w:bookmarkStart w:id="441" w:name="_Toc302635756"/>
      <w:bookmarkStart w:id="442" w:name="_Toc305331282"/>
      <w:bookmarkStart w:id="443" w:name="_Toc67418543"/>
      <w:bookmarkStart w:id="444" w:name="_Toc4604"/>
      <w:bookmarkStart w:id="445" w:name="_Toc34908997"/>
      <w:r>
        <w:rPr>
          <w:rFonts w:hint="eastAsia" w:ascii="宋体" w:hAnsi="宋体" w:cs="宋体"/>
          <w:sz w:val="24"/>
          <w:szCs w:val="24"/>
          <w:lang w:val="en-US" w:eastAsia="zh-CN"/>
        </w:rPr>
        <w:t xml:space="preserve">9.4 </w:t>
      </w:r>
      <w:r>
        <w:rPr>
          <w:rFonts w:hint="eastAsia" w:ascii="宋体" w:hAnsi="宋体" w:eastAsia="宋体" w:cs="宋体"/>
          <w:sz w:val="24"/>
          <w:szCs w:val="24"/>
        </w:rPr>
        <w:t>工程用款计划</w:t>
      </w:r>
      <w:bookmarkEnd w:id="441"/>
      <w:bookmarkEnd w:id="442"/>
      <w:bookmarkEnd w:id="443"/>
      <w:bookmarkEnd w:id="444"/>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承包人应按</w:t>
      </w:r>
      <w:r>
        <w:rPr>
          <w:rFonts w:hint="eastAsia" w:ascii="宋体" w:hAnsi="宋体" w:eastAsia="宋体" w:cs="宋体"/>
          <w:b/>
          <w:i/>
          <w:kern w:val="0"/>
        </w:rPr>
        <w:t>专用条款</w:t>
      </w:r>
      <w:r>
        <w:rPr>
          <w:rFonts w:hint="eastAsia" w:ascii="宋体" w:hAnsi="宋体" w:eastAsia="宋体" w:cs="宋体"/>
          <w:kern w:val="0"/>
        </w:rPr>
        <w:t>的约定按工程进度计划向监理人提交按合同约定承包人有权得到支付的工程用款计划，以备监理人查阅。如监理人提出要求，承包人还应按要求提交修改的工程用款计划。</w:t>
      </w:r>
      <w:bookmarkEnd w:id="445"/>
    </w:p>
    <w:p>
      <w:pPr>
        <w:pStyle w:val="2"/>
        <w:keepNext w:val="0"/>
        <w:keepLines w:val="0"/>
        <w:widowControl w:val="0"/>
        <w:tabs>
          <w:tab w:val="left" w:pos="720"/>
          <w:tab w:val="left" w:pos="1620"/>
          <w:tab w:val="left" w:pos="2340"/>
        </w:tabs>
        <w:spacing w:before="240" w:after="120"/>
        <w:ind w:left="178" w:firstLine="0"/>
        <w:rPr>
          <w:rFonts w:hint="eastAsia" w:ascii="宋体" w:hAnsi="宋体" w:eastAsia="宋体" w:cs="宋体"/>
        </w:rPr>
      </w:pPr>
      <w:bookmarkStart w:id="446" w:name="_Toc302635757"/>
      <w:bookmarkStart w:id="447" w:name="_Toc35656977"/>
      <w:bookmarkStart w:id="448" w:name="_Toc67418544"/>
      <w:bookmarkStart w:id="449" w:name="_Toc34908999"/>
      <w:bookmarkStart w:id="450" w:name="_Toc8037"/>
      <w:bookmarkStart w:id="451" w:name="_Toc35656475"/>
      <w:bookmarkStart w:id="452" w:name="_Toc305331283"/>
      <w:r>
        <w:rPr>
          <w:rFonts w:hint="eastAsia" w:ascii="宋体" w:cs="宋体"/>
          <w:lang w:val="en-US" w:eastAsia="zh-CN"/>
        </w:rPr>
        <w:t xml:space="preserve">10 </w:t>
      </w:r>
      <w:r>
        <w:rPr>
          <w:rFonts w:hint="eastAsia" w:ascii="宋体" w:hAnsi="宋体" w:eastAsia="宋体" w:cs="宋体"/>
        </w:rPr>
        <w:t>施工准备</w:t>
      </w:r>
      <w:bookmarkEnd w:id="446"/>
      <w:bookmarkEnd w:id="447"/>
      <w:bookmarkEnd w:id="448"/>
      <w:bookmarkEnd w:id="449"/>
      <w:bookmarkEnd w:id="450"/>
      <w:bookmarkEnd w:id="451"/>
      <w:bookmarkEnd w:id="452"/>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453" w:name="_Toc67418545"/>
      <w:bookmarkStart w:id="454" w:name="_Toc305331284"/>
      <w:bookmarkStart w:id="455" w:name="_Toc302635758"/>
      <w:bookmarkStart w:id="456" w:name="_Toc19036"/>
      <w:bookmarkStart w:id="457" w:name="_Toc34909002"/>
      <w:bookmarkStart w:id="458" w:name="_Toc34909000"/>
      <w:r>
        <w:rPr>
          <w:rFonts w:hint="eastAsia" w:ascii="宋体" w:hAnsi="宋体" w:cs="宋体"/>
          <w:sz w:val="24"/>
          <w:szCs w:val="24"/>
          <w:lang w:val="en-US" w:eastAsia="zh-CN"/>
        </w:rPr>
        <w:t xml:space="preserve">10.1 </w:t>
      </w:r>
      <w:r>
        <w:rPr>
          <w:rFonts w:hint="eastAsia" w:ascii="宋体" w:hAnsi="宋体" w:eastAsia="宋体" w:cs="宋体"/>
          <w:sz w:val="24"/>
          <w:szCs w:val="24"/>
        </w:rPr>
        <w:t>现场考察与勘察资料分析</w:t>
      </w:r>
      <w:bookmarkEnd w:id="453"/>
      <w:bookmarkEnd w:id="454"/>
      <w:bookmarkEnd w:id="455"/>
      <w:bookmarkEnd w:id="456"/>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承包人在签订合同之前，应研究和分析发包人提供的水文、地质、气象等资料，并在勘察设计文件和发包人提供的相关资料的基础上，对现场存在的管线等地下构筑物作进一步调查和了解，以取得其对施工影响的全部信息，并在施工组织设计和进度计划中作出充分的考虑。</w:t>
      </w:r>
      <w:bookmarkEnd w:id="457"/>
      <w:r>
        <w:rPr>
          <w:rFonts w:hint="eastAsia" w:ascii="宋体" w:hAnsi="宋体" w:eastAsia="宋体" w:cs="宋体"/>
        </w:rPr>
        <w:t>发包人应对其所提供资料的准确性负责，</w:t>
      </w:r>
      <w:r>
        <w:rPr>
          <w:rFonts w:hint="eastAsia" w:ascii="宋体" w:hAnsi="宋体" w:eastAsia="宋体" w:cs="宋体"/>
          <w:kern w:val="0"/>
        </w:rPr>
        <w:t>承包人应对其对该资料的理解、判断和应用负责。</w:t>
      </w:r>
    </w:p>
    <w:p>
      <w:pPr>
        <w:tabs>
          <w:tab w:val="left" w:pos="1620"/>
          <w:tab w:val="left" w:pos="2340"/>
        </w:tabs>
        <w:spacing w:after="156"/>
        <w:ind w:left="899"/>
        <w:jc w:val="left"/>
        <w:rPr>
          <w:rFonts w:hint="eastAsia" w:ascii="宋体" w:hAnsi="宋体" w:eastAsia="宋体" w:cs="宋体"/>
          <w:kern w:val="0"/>
        </w:rPr>
      </w:pPr>
      <w:bookmarkStart w:id="459" w:name="_Toc34909003"/>
      <w:r>
        <w:rPr>
          <w:rFonts w:hint="eastAsia" w:ascii="宋体" w:hAnsi="宋体" w:eastAsia="宋体" w:cs="宋体"/>
          <w:kern w:val="0"/>
        </w:rPr>
        <w:t>⑵承包人在签订合同之前，应视为已研究和察看了工地及其四周环境；已清楚知道关于通往工地的现有道路或其他交通条件、土地及工地的外形和性质、损毁物业的危险、挖掘对象的性质、进行本工程所需的工程及材料的性质、生活与施工条件；已取得影响其签订合同及进行本工程施工的资料。</w:t>
      </w:r>
      <w:bookmarkEnd w:id="459"/>
      <w:bookmarkStart w:id="460" w:name="_Toc34909004"/>
      <w:r>
        <w:rPr>
          <w:rFonts w:hint="eastAsia" w:ascii="宋体" w:hAnsi="宋体" w:eastAsia="宋体" w:cs="宋体"/>
          <w:kern w:val="0"/>
        </w:rPr>
        <w:t>承包人不得以对上述事项了解不够充分而向发包人索赔，也不得免除根据合同约定须承担的责任。</w:t>
      </w:r>
      <w:bookmarkEnd w:id="460"/>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461" w:name="_Toc67418546"/>
      <w:bookmarkStart w:id="462" w:name="_Toc21461"/>
      <w:bookmarkStart w:id="463" w:name="_Toc305331285"/>
      <w:bookmarkStart w:id="464" w:name="_Toc302635759"/>
      <w:bookmarkStart w:id="465" w:name="_Toc34909008"/>
      <w:r>
        <w:rPr>
          <w:rFonts w:hint="eastAsia" w:ascii="宋体" w:hAnsi="宋体" w:cs="宋体"/>
          <w:sz w:val="24"/>
          <w:szCs w:val="24"/>
          <w:lang w:val="en-US" w:eastAsia="zh-CN"/>
        </w:rPr>
        <w:t xml:space="preserve">10.2 </w:t>
      </w:r>
      <w:r>
        <w:rPr>
          <w:rFonts w:hint="eastAsia" w:ascii="宋体" w:hAnsi="宋体" w:eastAsia="宋体" w:cs="宋体"/>
          <w:sz w:val="24"/>
          <w:szCs w:val="24"/>
        </w:rPr>
        <w:t>施工场地提供</w:t>
      </w:r>
      <w:bookmarkEnd w:id="461"/>
      <w:bookmarkEnd w:id="462"/>
      <w:bookmarkEnd w:id="463"/>
      <w:bookmarkEnd w:id="464"/>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⑴发包人应按</w:t>
      </w:r>
      <w:r>
        <w:rPr>
          <w:rFonts w:hint="eastAsia" w:ascii="宋体" w:hAnsi="宋体" w:eastAsia="宋体" w:cs="宋体"/>
          <w:b/>
          <w:i/>
          <w:kern w:val="0"/>
        </w:rPr>
        <w:t>专用条款</w:t>
      </w:r>
      <w:r>
        <w:rPr>
          <w:rFonts w:hint="eastAsia" w:ascii="宋体" w:hAnsi="宋体" w:eastAsia="宋体" w:cs="宋体"/>
          <w:kern w:val="0"/>
        </w:rPr>
        <w:t>的约定向承包人提供施工所需的场地，以满足承包人进行本工程施工。发包人未按约定提供施工所需的场地，致使本工程或其他任何部分的进展受到影响，给承包人造成损失和(或)导致工期延误的，发包人应赔偿承包人损失，顺延延误的工期。</w:t>
      </w:r>
      <w:bookmarkEnd w:id="465"/>
      <w:bookmarkStart w:id="466" w:name="_Toc34909009"/>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发包人未能按期办妥土地征用和搬迁手续，承包人在接到监理人通知后，应按监理人的指示及时调整工程组织设计和进度计划中的各项工作的施工方案和顺序，以便能够继续施工或者对施工人员和施工机械及时进行调整，以避免停工损失的发生。发包人未能按期办妥土地征用和搬迁手续，给承包人造成损失和(或)导致工期延误的，发包人应赔偿承包人损失，顺延延误的工期。</w:t>
      </w:r>
      <w:bookmarkEnd w:id="466"/>
      <w:bookmarkStart w:id="467" w:name="_Toc34909010"/>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征地红线内的工程用地，在不影响施工的前提下，经发包人批准，可免费提供给承包人作施工临时用地。红线范围外的临时占地的租用，由发包人根据开工需要和施工先后顺序，分期办理租用手续，提供给承包人作施工临时用地。红线外的临时占地租用费用由发包人支付(</w:t>
      </w:r>
      <w:r>
        <w:rPr>
          <w:rFonts w:hint="eastAsia" w:ascii="宋体" w:hAnsi="宋体" w:eastAsia="宋体" w:cs="宋体"/>
          <w:b/>
          <w:i/>
          <w:kern w:val="0"/>
        </w:rPr>
        <w:t>专用条款</w:t>
      </w:r>
      <w:r>
        <w:rPr>
          <w:rFonts w:hint="eastAsia" w:ascii="宋体" w:hAnsi="宋体" w:eastAsia="宋体" w:cs="宋体"/>
          <w:kern w:val="0"/>
        </w:rPr>
        <w:t>另有约定除外)。临时用地使用完毕后，承包人应自费将临时用地恢复原状。</w:t>
      </w:r>
      <w:bookmarkEnd w:id="467"/>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468" w:name="_Toc67418547"/>
      <w:bookmarkStart w:id="469" w:name="_Toc19581"/>
      <w:bookmarkStart w:id="470" w:name="_Toc302635760"/>
      <w:bookmarkStart w:id="471" w:name="_Toc305331286"/>
      <w:bookmarkStart w:id="472" w:name="_Toc34909007"/>
      <w:r>
        <w:rPr>
          <w:rFonts w:hint="eastAsia" w:ascii="宋体" w:hAnsi="宋体" w:cs="宋体"/>
          <w:sz w:val="24"/>
          <w:szCs w:val="24"/>
          <w:lang w:val="en-US" w:eastAsia="zh-CN"/>
        </w:rPr>
        <w:t xml:space="preserve">10.3 </w:t>
      </w:r>
      <w:r>
        <w:rPr>
          <w:rFonts w:hint="eastAsia" w:ascii="宋体" w:hAnsi="宋体" w:eastAsia="宋体" w:cs="宋体"/>
          <w:sz w:val="24"/>
          <w:szCs w:val="24"/>
        </w:rPr>
        <w:t>施工放线</w:t>
      </w:r>
      <w:bookmarkEnd w:id="468"/>
      <w:bookmarkEnd w:id="469"/>
      <w:bookmarkEnd w:id="470"/>
      <w:bookmarkEnd w:id="471"/>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⑴发包人应在至迟不得晚于第11.1款〔开工〕中开工通知书载明的开工日期前7天通过监理人向承包人提供工程施工所需的原始基准点、基准线和基准标高，以及</w:t>
      </w:r>
      <w:r>
        <w:rPr>
          <w:rFonts w:hint="eastAsia" w:ascii="宋体" w:hAnsi="宋体" w:eastAsia="宋体" w:cs="宋体"/>
        </w:rPr>
        <w:t>工程项目范围内城市轨道交通隧道、给水管道、燃气管道分布情况，</w:t>
      </w:r>
      <w:r>
        <w:rPr>
          <w:rFonts w:hint="eastAsia" w:ascii="宋体" w:hAnsi="宋体" w:eastAsia="宋体" w:cs="宋体"/>
          <w:kern w:val="0"/>
        </w:rPr>
        <w:t>并对其真实准确性负责，同时承担由于其错误而引起的承包人的费用损失和工期延误的补偿责任。</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⑵承包人按上述基准负责对工程的所有部位正确定位，纠正在工程的位置、标高、尺寸或定线中的任何错误。监理人对放样、准线或标高的核查，均不应解除承包人对其准确性所负的责任。</w:t>
      </w:r>
      <w:bookmarkEnd w:id="472"/>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⑶施工过程中对施工现场内水准点等测量标志物的保护工作由承包人负责。</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fldChar w:fldCharType="begin"/>
      </w:r>
      <w:r>
        <w:rPr>
          <w:rFonts w:hint="eastAsia" w:ascii="宋体" w:hAnsi="宋体" w:eastAsia="宋体" w:cs="宋体"/>
          <w:kern w:val="0"/>
        </w:rPr>
        <w:instrText xml:space="preserve"> = 4 \* GB2 </w:instrText>
      </w:r>
      <w:r>
        <w:rPr>
          <w:rFonts w:hint="eastAsia" w:ascii="宋体" w:hAnsi="宋体" w:eastAsia="宋体" w:cs="宋体"/>
          <w:kern w:val="0"/>
        </w:rPr>
        <w:fldChar w:fldCharType="separate"/>
      </w:r>
      <w:r>
        <w:rPr>
          <w:rFonts w:hint="eastAsia" w:ascii="宋体" w:hAnsi="宋体" w:eastAsia="宋体" w:cs="宋体"/>
          <w:kern w:val="0"/>
        </w:rPr>
        <w:t>⑷</w:t>
      </w:r>
      <w:r>
        <w:rPr>
          <w:rFonts w:hint="eastAsia" w:ascii="宋体" w:hAnsi="宋体" w:eastAsia="宋体" w:cs="宋体"/>
          <w:kern w:val="0"/>
        </w:rPr>
        <w:fldChar w:fldCharType="end"/>
      </w:r>
      <w:r>
        <w:rPr>
          <w:rFonts w:hint="eastAsia" w:ascii="宋体" w:hAnsi="宋体" w:eastAsia="宋体" w:cs="宋体"/>
          <w:kern w:val="0"/>
        </w:rPr>
        <w:t>承包人应落实</w:t>
      </w:r>
      <w:r>
        <w:rPr>
          <w:rFonts w:hint="eastAsia" w:ascii="宋体" w:hAnsi="宋体" w:eastAsia="宋体" w:cs="宋体"/>
        </w:rPr>
        <w:t>工程项目范围内城市轨道交通隧道、给水管道、燃气管道的安全保护措施。</w:t>
      </w:r>
    </w:p>
    <w:bookmarkEnd w:id="458"/>
    <w:p>
      <w:pPr>
        <w:pStyle w:val="3"/>
        <w:tabs>
          <w:tab w:val="left" w:pos="540"/>
          <w:tab w:val="left" w:pos="900"/>
        </w:tabs>
        <w:spacing w:before="120" w:after="156"/>
        <w:ind w:left="359" w:firstLine="0"/>
        <w:jc w:val="left"/>
        <w:rPr>
          <w:rFonts w:hint="eastAsia" w:ascii="宋体" w:hAnsi="宋体" w:eastAsia="宋体" w:cs="宋体"/>
          <w:sz w:val="24"/>
          <w:szCs w:val="24"/>
        </w:rPr>
      </w:pPr>
      <w:bookmarkStart w:id="473" w:name="_Toc305331289"/>
      <w:bookmarkStart w:id="474" w:name="_Toc67418548"/>
      <w:bookmarkStart w:id="475" w:name="_Toc18109"/>
      <w:bookmarkStart w:id="476" w:name="_Toc302635763"/>
      <w:r>
        <w:rPr>
          <w:rFonts w:hint="eastAsia" w:ascii="宋体" w:hAnsi="宋体" w:cs="宋体"/>
          <w:sz w:val="24"/>
          <w:szCs w:val="24"/>
          <w:lang w:val="en-US" w:eastAsia="zh-CN"/>
        </w:rPr>
        <w:t xml:space="preserve">10.4 </w:t>
      </w:r>
      <w:r>
        <w:rPr>
          <w:rFonts w:hint="eastAsia" w:ascii="宋体" w:hAnsi="宋体" w:eastAsia="宋体" w:cs="宋体"/>
          <w:sz w:val="24"/>
          <w:szCs w:val="24"/>
        </w:rPr>
        <w:t>施工组织准备工作</w:t>
      </w:r>
      <w:bookmarkEnd w:id="473"/>
      <w:bookmarkEnd w:id="474"/>
      <w:bookmarkEnd w:id="475"/>
      <w:bookmarkEnd w:id="476"/>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本工程开工前，承包人应及时做好如下施工组织准备工作(包括但不限于)：</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fldChar w:fldCharType="begin"/>
      </w:r>
      <w:r>
        <w:rPr>
          <w:rFonts w:hint="eastAsia" w:ascii="宋体" w:hAnsi="宋体" w:eastAsia="宋体" w:cs="宋体"/>
          <w:kern w:val="0"/>
        </w:rPr>
        <w:instrText xml:space="preserve"> = 1 \* GB2 </w:instrText>
      </w:r>
      <w:r>
        <w:rPr>
          <w:rFonts w:hint="eastAsia" w:ascii="宋体" w:hAnsi="宋体" w:eastAsia="宋体" w:cs="宋体"/>
          <w:kern w:val="0"/>
        </w:rPr>
        <w:fldChar w:fldCharType="separate"/>
      </w:r>
      <w:r>
        <w:rPr>
          <w:rFonts w:hint="eastAsia" w:ascii="宋体" w:hAnsi="宋体" w:eastAsia="宋体" w:cs="宋体"/>
          <w:kern w:val="0"/>
        </w:rPr>
        <w:t>⑴</w:t>
      </w:r>
      <w:r>
        <w:rPr>
          <w:rFonts w:hint="eastAsia" w:ascii="宋体" w:hAnsi="宋体" w:eastAsia="宋体" w:cs="宋体"/>
          <w:kern w:val="0"/>
        </w:rPr>
        <w:fldChar w:fldCharType="end"/>
      </w:r>
      <w:r>
        <w:rPr>
          <w:rFonts w:hint="eastAsia" w:ascii="宋体" w:hAnsi="宋体" w:eastAsia="宋体" w:cs="宋体"/>
          <w:kern w:val="0"/>
        </w:rPr>
        <w:t>组建施工管理机构和专业作业队伍，并进行进场前的施工教育培训；</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fldChar w:fldCharType="begin"/>
      </w:r>
      <w:r>
        <w:rPr>
          <w:rFonts w:hint="eastAsia" w:ascii="宋体" w:hAnsi="宋体" w:eastAsia="宋体" w:cs="宋体"/>
          <w:kern w:val="0"/>
        </w:rPr>
        <w:instrText xml:space="preserve"> = 2 \* GB2 </w:instrText>
      </w:r>
      <w:r>
        <w:rPr>
          <w:rFonts w:hint="eastAsia" w:ascii="宋体" w:hAnsi="宋体" w:eastAsia="宋体" w:cs="宋体"/>
          <w:kern w:val="0"/>
        </w:rPr>
        <w:fldChar w:fldCharType="separate"/>
      </w:r>
      <w:r>
        <w:rPr>
          <w:rFonts w:hint="eastAsia" w:ascii="宋体" w:hAnsi="宋体" w:eastAsia="宋体" w:cs="宋体"/>
          <w:kern w:val="0"/>
        </w:rPr>
        <w:t>⑵</w:t>
      </w:r>
      <w:r>
        <w:rPr>
          <w:rFonts w:hint="eastAsia" w:ascii="宋体" w:hAnsi="宋体" w:eastAsia="宋体" w:cs="宋体"/>
          <w:kern w:val="0"/>
        </w:rPr>
        <w:fldChar w:fldCharType="end"/>
      </w:r>
      <w:r>
        <w:rPr>
          <w:rFonts w:hint="eastAsia" w:ascii="宋体" w:hAnsi="宋体" w:eastAsia="宋体" w:cs="宋体"/>
          <w:kern w:val="0"/>
        </w:rPr>
        <w:t>编制材料和设备供应计划并做好供应，安排好预制构件和非标准件加工以及施工机具设备的维修保养工作；</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fldChar w:fldCharType="begin"/>
      </w:r>
      <w:r>
        <w:rPr>
          <w:rFonts w:hint="eastAsia" w:ascii="宋体" w:hAnsi="宋体" w:eastAsia="宋体" w:cs="宋体"/>
          <w:kern w:val="0"/>
        </w:rPr>
        <w:instrText xml:space="preserve"> = 3 \* GB2 </w:instrText>
      </w:r>
      <w:r>
        <w:rPr>
          <w:rFonts w:hint="eastAsia" w:ascii="宋体" w:hAnsi="宋体" w:eastAsia="宋体" w:cs="宋体"/>
          <w:kern w:val="0"/>
        </w:rPr>
        <w:fldChar w:fldCharType="separate"/>
      </w:r>
      <w:r>
        <w:rPr>
          <w:rFonts w:hint="eastAsia" w:ascii="宋体" w:hAnsi="宋体" w:eastAsia="宋体" w:cs="宋体"/>
          <w:kern w:val="0"/>
        </w:rPr>
        <w:t>⑶</w:t>
      </w:r>
      <w:r>
        <w:rPr>
          <w:rFonts w:hint="eastAsia" w:ascii="宋体" w:hAnsi="宋体" w:eastAsia="宋体" w:cs="宋体"/>
          <w:kern w:val="0"/>
        </w:rPr>
        <w:fldChar w:fldCharType="end"/>
      </w:r>
      <w:r>
        <w:rPr>
          <w:rFonts w:hint="eastAsia" w:ascii="宋体" w:hAnsi="宋体" w:eastAsia="宋体" w:cs="宋体"/>
          <w:kern w:val="0"/>
        </w:rPr>
        <w:t>核实场内搬迁项目情况，并报监理人交由发包人与有关部门处理；</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fldChar w:fldCharType="begin"/>
      </w:r>
      <w:r>
        <w:rPr>
          <w:rFonts w:hint="eastAsia" w:ascii="宋体" w:hAnsi="宋体" w:eastAsia="宋体" w:cs="宋体"/>
          <w:kern w:val="0"/>
        </w:rPr>
        <w:instrText xml:space="preserve"> = 4 \* GB2 </w:instrText>
      </w:r>
      <w:r>
        <w:rPr>
          <w:rFonts w:hint="eastAsia" w:ascii="宋体" w:hAnsi="宋体" w:eastAsia="宋体" w:cs="宋体"/>
          <w:kern w:val="0"/>
        </w:rPr>
        <w:fldChar w:fldCharType="separate"/>
      </w:r>
      <w:r>
        <w:rPr>
          <w:rFonts w:hint="eastAsia" w:ascii="宋体" w:hAnsi="宋体" w:eastAsia="宋体" w:cs="宋体"/>
          <w:kern w:val="0"/>
        </w:rPr>
        <w:t>⑷</w:t>
      </w:r>
      <w:r>
        <w:rPr>
          <w:rFonts w:hint="eastAsia" w:ascii="宋体" w:hAnsi="宋体" w:eastAsia="宋体" w:cs="宋体"/>
          <w:kern w:val="0"/>
        </w:rPr>
        <w:fldChar w:fldCharType="end"/>
      </w:r>
      <w:r>
        <w:rPr>
          <w:rFonts w:hint="eastAsia" w:ascii="宋体" w:hAnsi="宋体" w:eastAsia="宋体" w:cs="宋体"/>
          <w:kern w:val="0"/>
        </w:rPr>
        <w:t>架设供电线路，接通施工用水管路，确定材料、设备等运输线路；</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fldChar w:fldCharType="begin"/>
      </w:r>
      <w:r>
        <w:rPr>
          <w:rFonts w:hint="eastAsia" w:ascii="宋体" w:hAnsi="宋体" w:eastAsia="宋体" w:cs="宋体"/>
          <w:kern w:val="0"/>
        </w:rPr>
        <w:instrText xml:space="preserve"> = 5 \* GB2 </w:instrText>
      </w:r>
      <w:r>
        <w:rPr>
          <w:rFonts w:hint="eastAsia" w:ascii="宋体" w:hAnsi="宋体" w:eastAsia="宋体" w:cs="宋体"/>
          <w:kern w:val="0"/>
        </w:rPr>
        <w:fldChar w:fldCharType="separate"/>
      </w:r>
      <w:r>
        <w:rPr>
          <w:rFonts w:hint="eastAsia" w:ascii="宋体" w:hAnsi="宋体" w:eastAsia="宋体" w:cs="宋体"/>
          <w:kern w:val="0"/>
        </w:rPr>
        <w:t>⑸</w:t>
      </w:r>
      <w:r>
        <w:rPr>
          <w:rFonts w:hint="eastAsia" w:ascii="宋体" w:hAnsi="宋体" w:eastAsia="宋体" w:cs="宋体"/>
          <w:kern w:val="0"/>
        </w:rPr>
        <w:fldChar w:fldCharType="end"/>
      </w:r>
      <w:r>
        <w:rPr>
          <w:rFonts w:hint="eastAsia" w:ascii="宋体" w:hAnsi="宋体" w:eastAsia="宋体" w:cs="宋体"/>
          <w:kern w:val="0"/>
        </w:rPr>
        <w:t>做好场区的临时排水、泄水口、车辆、车轮冲洗沟槽设施及场地、道路硬化等及其他全部临时工程；</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fldChar w:fldCharType="begin"/>
      </w:r>
      <w:r>
        <w:rPr>
          <w:rFonts w:hint="eastAsia" w:ascii="宋体" w:hAnsi="宋体" w:eastAsia="宋体" w:cs="宋体"/>
          <w:kern w:val="0"/>
        </w:rPr>
        <w:instrText xml:space="preserve"> = 6 \* GB2 </w:instrText>
      </w:r>
      <w:r>
        <w:rPr>
          <w:rFonts w:hint="eastAsia" w:ascii="宋体" w:hAnsi="宋体" w:eastAsia="宋体" w:cs="宋体"/>
          <w:kern w:val="0"/>
        </w:rPr>
        <w:fldChar w:fldCharType="separate"/>
      </w:r>
      <w:r>
        <w:rPr>
          <w:rFonts w:hint="eastAsia" w:ascii="宋体" w:hAnsi="宋体" w:eastAsia="宋体" w:cs="宋体"/>
          <w:kern w:val="0"/>
        </w:rPr>
        <w:t>⑹</w:t>
      </w:r>
      <w:r>
        <w:rPr>
          <w:rFonts w:hint="eastAsia" w:ascii="宋体" w:hAnsi="宋体" w:eastAsia="宋体" w:cs="宋体"/>
          <w:kern w:val="0"/>
        </w:rPr>
        <w:fldChar w:fldCharType="end"/>
      </w:r>
      <w:r>
        <w:rPr>
          <w:rFonts w:hint="eastAsia" w:ascii="宋体" w:hAnsi="宋体" w:eastAsia="宋体" w:cs="宋体"/>
          <w:kern w:val="0"/>
        </w:rPr>
        <w:t>组织施工机械设备和材料进场；</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fldChar w:fldCharType="begin"/>
      </w:r>
      <w:r>
        <w:rPr>
          <w:rFonts w:hint="eastAsia" w:ascii="宋体" w:hAnsi="宋体" w:eastAsia="宋体" w:cs="宋体"/>
          <w:kern w:val="0"/>
        </w:rPr>
        <w:instrText xml:space="preserve"> = 7 \* GB2 </w:instrText>
      </w:r>
      <w:r>
        <w:rPr>
          <w:rFonts w:hint="eastAsia" w:ascii="宋体" w:hAnsi="宋体" w:eastAsia="宋体" w:cs="宋体"/>
          <w:kern w:val="0"/>
        </w:rPr>
        <w:fldChar w:fldCharType="separate"/>
      </w:r>
      <w:r>
        <w:rPr>
          <w:rFonts w:hint="eastAsia" w:ascii="宋体" w:hAnsi="宋体" w:eastAsia="宋体" w:cs="宋体"/>
          <w:kern w:val="0"/>
        </w:rPr>
        <w:t>⑺</w:t>
      </w:r>
      <w:r>
        <w:rPr>
          <w:rFonts w:hint="eastAsia" w:ascii="宋体" w:hAnsi="宋体" w:eastAsia="宋体" w:cs="宋体"/>
          <w:kern w:val="0"/>
        </w:rPr>
        <w:fldChar w:fldCharType="end"/>
      </w:r>
      <w:r>
        <w:rPr>
          <w:rFonts w:hint="eastAsia" w:ascii="宋体" w:hAnsi="宋体" w:eastAsia="宋体" w:cs="宋体"/>
          <w:kern w:val="0"/>
        </w:rPr>
        <w:t>落实季节性施工措施；</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fldChar w:fldCharType="begin"/>
      </w:r>
      <w:r>
        <w:rPr>
          <w:rFonts w:hint="eastAsia" w:ascii="宋体" w:hAnsi="宋体" w:eastAsia="宋体" w:cs="宋体"/>
          <w:kern w:val="0"/>
        </w:rPr>
        <w:instrText xml:space="preserve"> = 8 \* GB2 </w:instrText>
      </w:r>
      <w:r>
        <w:rPr>
          <w:rFonts w:hint="eastAsia" w:ascii="宋体" w:hAnsi="宋体" w:eastAsia="宋体" w:cs="宋体"/>
          <w:kern w:val="0"/>
        </w:rPr>
        <w:fldChar w:fldCharType="separate"/>
      </w:r>
      <w:r>
        <w:rPr>
          <w:rFonts w:hint="eastAsia" w:ascii="宋体" w:hAnsi="宋体" w:eastAsia="宋体" w:cs="宋体"/>
          <w:kern w:val="0"/>
        </w:rPr>
        <w:t>⑻</w:t>
      </w:r>
      <w:r>
        <w:rPr>
          <w:rFonts w:hint="eastAsia" w:ascii="宋体" w:hAnsi="宋体" w:eastAsia="宋体" w:cs="宋体"/>
          <w:kern w:val="0"/>
        </w:rPr>
        <w:fldChar w:fldCharType="end"/>
      </w:r>
      <w:r>
        <w:rPr>
          <w:rFonts w:hint="eastAsia" w:ascii="宋体" w:hAnsi="宋体" w:eastAsia="宋体" w:cs="宋体"/>
          <w:kern w:val="0"/>
        </w:rPr>
        <w:t>向监理人提交安全生产(含消防安全)计划；落实安全、消防和保安措施，以及文明施工管理措施。</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477" w:name="_Toc305331290"/>
      <w:bookmarkStart w:id="478" w:name="_Toc302635764"/>
      <w:bookmarkStart w:id="479" w:name="_Toc67418549"/>
      <w:bookmarkStart w:id="480" w:name="_Toc256"/>
      <w:r>
        <w:rPr>
          <w:rFonts w:hint="eastAsia" w:ascii="宋体" w:hAnsi="宋体" w:cs="宋体"/>
          <w:sz w:val="24"/>
          <w:szCs w:val="24"/>
          <w:lang w:val="en-US" w:eastAsia="zh-CN"/>
        </w:rPr>
        <w:t xml:space="preserve">10.5 </w:t>
      </w:r>
      <w:r>
        <w:rPr>
          <w:rFonts w:hint="eastAsia" w:ascii="宋体" w:hAnsi="宋体" w:eastAsia="宋体" w:cs="宋体"/>
          <w:sz w:val="24"/>
          <w:szCs w:val="24"/>
        </w:rPr>
        <w:t>施工技术准备工作</w:t>
      </w:r>
      <w:bookmarkEnd w:id="477"/>
      <w:bookmarkEnd w:id="478"/>
      <w:bookmarkEnd w:id="479"/>
      <w:bookmarkEnd w:id="480"/>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本工程开工前，承包人应及时做好如下施工技术准备工作(包括但不限于)：</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⑴熟悉、审核设计图，参加监理人组织的设计交底和图纸会审；</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⑵参与监理人组织的测量交桩，复测控制桩和水准点，并制定测量方案和监控量测方案；</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⑶按监理人要求，优化施工组织设计；</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⑷做好技术交底和培训，安排好检验试验工作。</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481" w:name="_Toc302635765"/>
      <w:bookmarkStart w:id="482" w:name="_Toc305331291"/>
      <w:bookmarkStart w:id="483" w:name="_Toc67418550"/>
      <w:bookmarkStart w:id="484" w:name="_Toc5663"/>
      <w:bookmarkStart w:id="485" w:name="_Toc34909005"/>
      <w:r>
        <w:rPr>
          <w:rFonts w:hint="eastAsia" w:ascii="宋体" w:hAnsi="宋体" w:cs="宋体"/>
          <w:sz w:val="24"/>
          <w:szCs w:val="24"/>
          <w:lang w:val="en-US" w:eastAsia="zh-CN"/>
        </w:rPr>
        <w:t xml:space="preserve">10.6 </w:t>
      </w:r>
      <w:r>
        <w:rPr>
          <w:rFonts w:hint="eastAsia" w:ascii="宋体" w:hAnsi="宋体" w:eastAsia="宋体" w:cs="宋体"/>
          <w:sz w:val="24"/>
          <w:szCs w:val="24"/>
        </w:rPr>
        <w:t>不利的外界障碍或条件</w:t>
      </w:r>
      <w:bookmarkEnd w:id="481"/>
      <w:bookmarkEnd w:id="482"/>
      <w:bookmarkEnd w:id="483"/>
      <w:bookmarkEnd w:id="484"/>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⑴在施工期间，如遇到承包人无法预见的外界障碍或条件，给承包人造成损失和(或)导致工期延误的，发包人应顺延延误的工期，费用的承担在专用条款中另行约定。</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⑵在确定损失和(或)延误的工期时，应该考虑监理人已经发给承包人与此有关的指令，以及在没有监理人具体指令情况下，承包人所采取的合理措施。</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⑶对于</w:t>
      </w:r>
      <w:r>
        <w:rPr>
          <w:rFonts w:hint="eastAsia" w:ascii="宋体" w:hAnsi="宋体" w:eastAsia="宋体" w:cs="宋体"/>
          <w:b/>
          <w:i/>
          <w:kern w:val="0"/>
        </w:rPr>
        <w:t>专用条款</w:t>
      </w:r>
      <w:r>
        <w:rPr>
          <w:rFonts w:hint="eastAsia" w:ascii="宋体" w:hAnsi="宋体" w:eastAsia="宋体" w:cs="宋体"/>
          <w:kern w:val="0"/>
        </w:rPr>
        <w:t>已经明确指出的不利的外界障碍或条件，均视为承包人在接受合同时已预见其影响因素并已在投标报价中计入由于其影响而可能发生的一切费用。</w:t>
      </w:r>
      <w:bookmarkEnd w:id="485"/>
    </w:p>
    <w:p>
      <w:pPr>
        <w:pStyle w:val="2"/>
        <w:keepNext w:val="0"/>
        <w:keepLines w:val="0"/>
        <w:widowControl w:val="0"/>
        <w:tabs>
          <w:tab w:val="left" w:pos="720"/>
          <w:tab w:val="left" w:pos="1620"/>
          <w:tab w:val="left" w:pos="2340"/>
        </w:tabs>
        <w:spacing w:before="240" w:after="120"/>
        <w:ind w:left="178" w:firstLine="0"/>
        <w:rPr>
          <w:rFonts w:hint="eastAsia" w:ascii="宋体" w:hAnsi="宋体" w:eastAsia="宋体" w:cs="宋体"/>
        </w:rPr>
      </w:pPr>
      <w:bookmarkStart w:id="486" w:name="_Toc305331292"/>
      <w:bookmarkStart w:id="487" w:name="_Toc3646"/>
      <w:bookmarkStart w:id="488" w:name="_Toc35656477"/>
      <w:bookmarkStart w:id="489" w:name="_Toc35656979"/>
      <w:bookmarkStart w:id="490" w:name="_Toc302635766"/>
      <w:bookmarkStart w:id="491" w:name="_Toc34909012"/>
      <w:bookmarkStart w:id="492" w:name="_Toc67418551"/>
      <w:r>
        <w:rPr>
          <w:rFonts w:hint="eastAsia" w:ascii="宋体" w:cs="宋体"/>
          <w:lang w:val="en-US" w:eastAsia="zh-CN"/>
        </w:rPr>
        <w:t xml:space="preserve">11 </w:t>
      </w:r>
      <w:r>
        <w:rPr>
          <w:rFonts w:hint="eastAsia" w:ascii="宋体" w:hAnsi="宋体" w:eastAsia="宋体" w:cs="宋体"/>
        </w:rPr>
        <w:t>开工及延期</w:t>
      </w:r>
      <w:bookmarkEnd w:id="486"/>
      <w:bookmarkEnd w:id="487"/>
      <w:bookmarkEnd w:id="488"/>
      <w:bookmarkEnd w:id="489"/>
      <w:bookmarkEnd w:id="490"/>
      <w:bookmarkEnd w:id="491"/>
      <w:bookmarkEnd w:id="492"/>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493" w:name="_Toc302635767"/>
      <w:bookmarkStart w:id="494" w:name="_Toc67418552"/>
      <w:bookmarkStart w:id="495" w:name="_Toc13792"/>
      <w:bookmarkStart w:id="496" w:name="_Toc305331293"/>
      <w:r>
        <w:rPr>
          <w:rFonts w:hint="eastAsia" w:ascii="宋体" w:hAnsi="宋体" w:cs="宋体"/>
          <w:sz w:val="24"/>
          <w:szCs w:val="24"/>
          <w:lang w:val="en-US" w:eastAsia="zh-CN"/>
        </w:rPr>
        <w:t xml:space="preserve">11.1 </w:t>
      </w:r>
      <w:r>
        <w:rPr>
          <w:rFonts w:hint="eastAsia" w:ascii="宋体" w:hAnsi="宋体" w:eastAsia="宋体" w:cs="宋体"/>
          <w:sz w:val="24"/>
          <w:szCs w:val="24"/>
        </w:rPr>
        <w:t>开工</w:t>
      </w:r>
      <w:bookmarkEnd w:id="493"/>
      <w:bookmarkEnd w:id="494"/>
      <w:bookmarkEnd w:id="495"/>
      <w:bookmarkEnd w:id="496"/>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监理人应按合同约定的开工日期在不少于7天前向承包人发出开工通知书，承包人应按合同约定的开工日期开始本工程或按专用条款13.1款约定的单项工程开工日期开始本工程中某单项工程的施工。</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497" w:name="_Toc305331294"/>
      <w:bookmarkStart w:id="498" w:name="_Toc302635768"/>
      <w:bookmarkStart w:id="499" w:name="_Toc11180"/>
      <w:bookmarkStart w:id="500" w:name="_Toc67418553"/>
      <w:bookmarkStart w:id="501" w:name="_Toc34909014"/>
      <w:r>
        <w:rPr>
          <w:rFonts w:hint="eastAsia" w:ascii="宋体" w:hAnsi="宋体" w:cs="宋体"/>
          <w:sz w:val="24"/>
          <w:szCs w:val="24"/>
          <w:lang w:val="en-US" w:eastAsia="zh-CN"/>
        </w:rPr>
        <w:t xml:space="preserve">11.2 </w:t>
      </w:r>
      <w:r>
        <w:rPr>
          <w:rFonts w:hint="eastAsia" w:ascii="宋体" w:hAnsi="宋体" w:eastAsia="宋体" w:cs="宋体"/>
          <w:sz w:val="24"/>
          <w:szCs w:val="24"/>
        </w:rPr>
        <w:t>开工延期</w:t>
      </w:r>
      <w:bookmarkEnd w:id="497"/>
      <w:bookmarkEnd w:id="498"/>
      <w:bookmarkEnd w:id="499"/>
      <w:bookmarkEnd w:id="500"/>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承包人因自身的原因不能按本合同约定的开工日期开工，应在不少于本合同约定的开工日期前7天，以书面形式向监理人提出开工延期的要求和理由。监理人应在接到开工延期申请后48小时内予以审核，并报发包人审批后答复承包人。发包人同意开工延期或逾期未予答复的，开工延期并相应顺延工期；发包人不同意开工延期或承包人未在约定时限内提出开工延期申请的，开工不予延期并工期不予顺延</w:t>
      </w:r>
      <w:bookmarkEnd w:id="501"/>
      <w:r>
        <w:rPr>
          <w:rFonts w:hint="eastAsia" w:ascii="宋体" w:hAnsi="宋体" w:eastAsia="宋体" w:cs="宋体"/>
          <w:kern w:val="0"/>
        </w:rPr>
        <w:t>。</w:t>
      </w:r>
    </w:p>
    <w:p>
      <w:pPr>
        <w:tabs>
          <w:tab w:val="left" w:pos="1620"/>
          <w:tab w:val="left" w:pos="2340"/>
        </w:tabs>
        <w:spacing w:after="156"/>
        <w:ind w:left="899"/>
        <w:jc w:val="left"/>
        <w:rPr>
          <w:rFonts w:hint="eastAsia" w:ascii="宋体" w:hAnsi="宋体" w:eastAsia="宋体" w:cs="宋体"/>
          <w:kern w:val="0"/>
        </w:rPr>
      </w:pPr>
      <w:bookmarkStart w:id="502" w:name="_Toc34909015"/>
      <w:r>
        <w:rPr>
          <w:rFonts w:hint="eastAsia" w:ascii="宋体" w:hAnsi="宋体" w:eastAsia="宋体" w:cs="宋体"/>
          <w:kern w:val="0"/>
        </w:rPr>
        <w:t>⑵因发包人的原因造成承包人不能在本合同约定的开工日期开工，监理人应在不少于本合同约定的开工日期前7天，以书面形式通知承包人，延期开工并相应顺延工期。因发包人的原因延期开工给承包人造成损失的，发包人应赔偿承包人损失。</w:t>
      </w:r>
      <w:bookmarkEnd w:id="502"/>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⑶按照11.2⑴、⑵款情形确定延期开工后，监理人应在具备开工条件后至少提前7天向承包人发出开工通知书。</w:t>
      </w:r>
    </w:p>
    <w:p>
      <w:pPr>
        <w:pStyle w:val="2"/>
        <w:keepNext w:val="0"/>
        <w:keepLines w:val="0"/>
        <w:widowControl w:val="0"/>
        <w:tabs>
          <w:tab w:val="left" w:pos="720"/>
          <w:tab w:val="left" w:pos="1620"/>
          <w:tab w:val="left" w:pos="2340"/>
        </w:tabs>
        <w:spacing w:before="240" w:after="120"/>
        <w:ind w:left="178" w:firstLine="0"/>
        <w:rPr>
          <w:rFonts w:hint="eastAsia" w:ascii="宋体" w:hAnsi="宋体" w:eastAsia="宋体" w:cs="宋体"/>
        </w:rPr>
      </w:pPr>
      <w:bookmarkStart w:id="503" w:name="_Toc34909016"/>
      <w:bookmarkStart w:id="504" w:name="_Toc35656980"/>
      <w:bookmarkStart w:id="505" w:name="_Toc35656478"/>
      <w:bookmarkStart w:id="506" w:name="_Toc305331295"/>
      <w:bookmarkStart w:id="507" w:name="_Toc302635769"/>
      <w:bookmarkStart w:id="508" w:name="_Toc67418554"/>
      <w:bookmarkStart w:id="509" w:name="_Toc28193"/>
      <w:r>
        <w:rPr>
          <w:rFonts w:hint="eastAsia" w:ascii="宋体" w:cs="宋体"/>
          <w:lang w:val="en-US" w:eastAsia="zh-CN"/>
        </w:rPr>
        <w:t xml:space="preserve">12 </w:t>
      </w:r>
      <w:r>
        <w:rPr>
          <w:rFonts w:hint="eastAsia" w:ascii="宋体" w:hAnsi="宋体" w:eastAsia="宋体" w:cs="宋体"/>
        </w:rPr>
        <w:t>暂停施工和</w:t>
      </w:r>
      <w:bookmarkEnd w:id="503"/>
      <w:bookmarkEnd w:id="504"/>
      <w:bookmarkEnd w:id="505"/>
      <w:r>
        <w:rPr>
          <w:rFonts w:hint="eastAsia" w:ascii="宋体" w:hAnsi="宋体" w:eastAsia="宋体" w:cs="宋体"/>
        </w:rPr>
        <w:t>恢复施工</w:t>
      </w:r>
      <w:bookmarkEnd w:id="506"/>
      <w:bookmarkEnd w:id="507"/>
      <w:bookmarkEnd w:id="508"/>
      <w:bookmarkEnd w:id="509"/>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510" w:name="_Toc15715"/>
      <w:bookmarkStart w:id="511" w:name="_Toc302635770"/>
      <w:bookmarkStart w:id="512" w:name="_Toc67418555"/>
      <w:bookmarkStart w:id="513" w:name="_Toc34909017"/>
      <w:bookmarkStart w:id="514" w:name="_Toc305331296"/>
      <w:r>
        <w:rPr>
          <w:rFonts w:hint="eastAsia" w:ascii="宋体" w:hAnsi="宋体" w:cs="宋体"/>
          <w:sz w:val="24"/>
          <w:szCs w:val="24"/>
          <w:lang w:val="en-US" w:eastAsia="zh-CN"/>
        </w:rPr>
        <w:t xml:space="preserve">12.1 </w:t>
      </w:r>
      <w:r>
        <w:rPr>
          <w:rFonts w:hint="eastAsia" w:ascii="宋体" w:hAnsi="宋体" w:eastAsia="宋体" w:cs="宋体"/>
          <w:sz w:val="24"/>
          <w:szCs w:val="24"/>
        </w:rPr>
        <w:t>发包人原因引起的暂停施工</w:t>
      </w:r>
      <w:bookmarkEnd w:id="510"/>
      <w:bookmarkEnd w:id="511"/>
      <w:bookmarkEnd w:id="512"/>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因发包人原因引起暂停施工的，监理人经发包人同意后，应及时下达暂停施工指示。情况紧急且监理人未及时下达暂停施工指示的，按照第12.4款〔紧急情况下的暂停施工〕执行。</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因发包人原因引起的暂停施工，发包人应承担由此增加的费用和（或）延误的工期，并支付承包人合理的利润。</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515" w:name="_Toc302635771"/>
      <w:bookmarkStart w:id="516" w:name="_Toc17710"/>
      <w:bookmarkStart w:id="517" w:name="_Toc67418556"/>
      <w:r>
        <w:rPr>
          <w:rFonts w:hint="eastAsia" w:ascii="宋体" w:hAnsi="宋体" w:cs="宋体"/>
          <w:sz w:val="24"/>
          <w:szCs w:val="24"/>
          <w:lang w:val="en-US" w:eastAsia="zh-CN"/>
        </w:rPr>
        <w:t xml:space="preserve">12.2 </w:t>
      </w:r>
      <w:r>
        <w:rPr>
          <w:rFonts w:hint="eastAsia" w:ascii="宋体" w:hAnsi="宋体" w:eastAsia="宋体" w:cs="宋体"/>
          <w:sz w:val="24"/>
          <w:szCs w:val="24"/>
        </w:rPr>
        <w:t>承包人原因引起的暂停施工</w:t>
      </w:r>
      <w:bookmarkEnd w:id="515"/>
      <w:bookmarkEnd w:id="516"/>
      <w:bookmarkEnd w:id="517"/>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因承包人原因引起的暂停施工，承包人应承担由此增加的费用和（或）延误的工期，且承包人在收到监理人复工指示后在</w:t>
      </w:r>
      <w:r>
        <w:rPr>
          <w:rFonts w:hint="eastAsia" w:ascii="宋体" w:hAnsi="宋体" w:eastAsia="宋体" w:cs="宋体"/>
          <w:b/>
          <w:i/>
          <w:kern w:val="0"/>
        </w:rPr>
        <w:t>专用条款</w:t>
      </w:r>
      <w:r>
        <w:rPr>
          <w:rFonts w:hint="eastAsia" w:ascii="宋体" w:hAnsi="宋体" w:eastAsia="宋体" w:cs="宋体"/>
          <w:kern w:val="0"/>
        </w:rPr>
        <w:t>约定的期限内仍未复工的，视为第28.2款〔承包人违约〕第⑺项约定的承包人无法继续履行合同的情形。</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518" w:name="_Toc24777"/>
      <w:bookmarkStart w:id="519" w:name="_Toc67418557"/>
      <w:bookmarkStart w:id="520" w:name="_Toc302635772"/>
      <w:r>
        <w:rPr>
          <w:rFonts w:hint="eastAsia" w:ascii="宋体" w:hAnsi="宋体" w:cs="宋体"/>
          <w:sz w:val="24"/>
          <w:szCs w:val="24"/>
          <w:lang w:val="en-US" w:eastAsia="zh-CN"/>
        </w:rPr>
        <w:t xml:space="preserve">12.3 </w:t>
      </w:r>
      <w:r>
        <w:rPr>
          <w:rFonts w:hint="eastAsia" w:ascii="宋体" w:hAnsi="宋体" w:eastAsia="宋体" w:cs="宋体"/>
          <w:sz w:val="24"/>
          <w:szCs w:val="24"/>
        </w:rPr>
        <w:t>指示暂停施工</w:t>
      </w:r>
      <w:bookmarkEnd w:id="518"/>
      <w:bookmarkEnd w:id="519"/>
      <w:bookmarkEnd w:id="520"/>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监理人认为有必要时，并经发包人批准后，可向承包人作出暂停施工的指示，承包人应按监理人指示暂停施工。</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521" w:name="_Toc67418558"/>
      <w:bookmarkStart w:id="522" w:name="_Toc31219"/>
      <w:bookmarkStart w:id="523" w:name="_Toc302635773"/>
      <w:r>
        <w:rPr>
          <w:rFonts w:hint="eastAsia" w:ascii="宋体" w:hAnsi="宋体" w:cs="宋体"/>
          <w:sz w:val="24"/>
          <w:szCs w:val="24"/>
          <w:lang w:val="en-US" w:eastAsia="zh-CN"/>
        </w:rPr>
        <w:t xml:space="preserve">12.4 </w:t>
      </w:r>
      <w:r>
        <w:rPr>
          <w:rFonts w:hint="eastAsia" w:ascii="宋体" w:hAnsi="宋体" w:eastAsia="宋体" w:cs="宋体"/>
          <w:sz w:val="24"/>
          <w:szCs w:val="24"/>
        </w:rPr>
        <w:t>紧急情况下的暂停施工</w:t>
      </w:r>
      <w:bookmarkEnd w:id="521"/>
      <w:bookmarkEnd w:id="522"/>
      <w:bookmarkEnd w:id="523"/>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30条〔争议解决〕约定处理。</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524" w:name="_Toc67418559"/>
      <w:bookmarkStart w:id="525" w:name="_Toc7093"/>
      <w:bookmarkStart w:id="526" w:name="_Toc302635774"/>
      <w:r>
        <w:rPr>
          <w:rFonts w:hint="eastAsia" w:ascii="宋体" w:hAnsi="宋体" w:cs="宋体"/>
          <w:sz w:val="24"/>
          <w:szCs w:val="24"/>
          <w:lang w:val="en-US" w:eastAsia="zh-CN"/>
        </w:rPr>
        <w:t xml:space="preserve">12.5 </w:t>
      </w:r>
      <w:r>
        <w:rPr>
          <w:rFonts w:hint="eastAsia" w:ascii="宋体" w:hAnsi="宋体" w:eastAsia="宋体" w:cs="宋体"/>
          <w:sz w:val="24"/>
          <w:szCs w:val="24"/>
        </w:rPr>
        <w:t>暂停施工后的复工</w:t>
      </w:r>
      <w:bookmarkEnd w:id="524"/>
      <w:bookmarkEnd w:id="525"/>
      <w:bookmarkEnd w:id="526"/>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承包人无故拖延和拒绝复工的，承包人承担由此增加的费用和（或）延误的工期；因发包人原因无法按时复工的，按照第13.2款〔因发包人原因导致工期延误〕约定办理。</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527" w:name="_Toc67418560"/>
      <w:bookmarkStart w:id="528" w:name="_Toc302635775"/>
      <w:bookmarkStart w:id="529" w:name="_Toc6943"/>
      <w:r>
        <w:rPr>
          <w:rFonts w:hint="eastAsia" w:ascii="宋体" w:hAnsi="宋体" w:cs="宋体"/>
          <w:sz w:val="24"/>
          <w:szCs w:val="24"/>
          <w:lang w:val="en-US" w:eastAsia="zh-CN"/>
        </w:rPr>
        <w:t xml:space="preserve">12.6 </w:t>
      </w:r>
      <w:r>
        <w:rPr>
          <w:rFonts w:hint="eastAsia" w:ascii="宋体" w:hAnsi="宋体" w:eastAsia="宋体" w:cs="宋体"/>
          <w:sz w:val="24"/>
          <w:szCs w:val="24"/>
        </w:rPr>
        <w:t>暂停施工期间的工程照管</w:t>
      </w:r>
      <w:bookmarkEnd w:id="527"/>
      <w:bookmarkEnd w:id="528"/>
      <w:bookmarkEnd w:id="529"/>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暂停施工期间，承包人应负责妥善照管工程并提供安全保障，由此增加的费用由责任方承担。</w:t>
      </w:r>
    </w:p>
    <w:bookmarkEnd w:id="513"/>
    <w:bookmarkEnd w:id="514"/>
    <w:p>
      <w:pPr>
        <w:pStyle w:val="2"/>
        <w:keepNext w:val="0"/>
        <w:keepLines w:val="0"/>
        <w:widowControl w:val="0"/>
        <w:tabs>
          <w:tab w:val="left" w:pos="720"/>
          <w:tab w:val="left" w:pos="1620"/>
          <w:tab w:val="left" w:pos="2340"/>
        </w:tabs>
        <w:spacing w:before="240" w:after="120"/>
        <w:ind w:left="178" w:firstLine="0"/>
        <w:rPr>
          <w:rFonts w:hint="eastAsia" w:ascii="宋体" w:hAnsi="宋体" w:eastAsia="宋体" w:cs="宋体"/>
        </w:rPr>
      </w:pPr>
      <w:bookmarkStart w:id="530" w:name="_Toc35656981"/>
      <w:bookmarkStart w:id="531" w:name="_Toc34909021"/>
      <w:bookmarkStart w:id="532" w:name="_Toc302635776"/>
      <w:bookmarkStart w:id="533" w:name="_Toc10628"/>
      <w:bookmarkStart w:id="534" w:name="_Toc67418561"/>
      <w:bookmarkStart w:id="535" w:name="_Toc35656479"/>
      <w:bookmarkStart w:id="536" w:name="_Toc305331299"/>
      <w:r>
        <w:rPr>
          <w:rFonts w:hint="eastAsia" w:ascii="宋体" w:cs="宋体"/>
          <w:lang w:val="en-US" w:eastAsia="zh-CN"/>
        </w:rPr>
        <w:t xml:space="preserve">13 </w:t>
      </w:r>
      <w:r>
        <w:rPr>
          <w:rFonts w:hint="eastAsia" w:ascii="宋体" w:hAnsi="宋体" w:eastAsia="宋体" w:cs="宋体"/>
        </w:rPr>
        <w:t>工期及延误</w:t>
      </w:r>
      <w:bookmarkEnd w:id="530"/>
      <w:bookmarkEnd w:id="531"/>
      <w:bookmarkEnd w:id="532"/>
      <w:bookmarkEnd w:id="533"/>
      <w:bookmarkEnd w:id="534"/>
      <w:bookmarkEnd w:id="535"/>
      <w:bookmarkEnd w:id="536"/>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537" w:name="_Toc26714"/>
      <w:bookmarkStart w:id="538" w:name="_Toc67418562"/>
      <w:bookmarkStart w:id="539" w:name="_Toc302635777"/>
      <w:bookmarkStart w:id="540" w:name="_Toc305331300"/>
      <w:bookmarkStart w:id="541" w:name="_Toc34909022"/>
      <w:r>
        <w:rPr>
          <w:rFonts w:hint="eastAsia" w:ascii="宋体" w:hAnsi="宋体" w:cs="宋体"/>
          <w:sz w:val="24"/>
          <w:szCs w:val="24"/>
          <w:lang w:val="en-US" w:eastAsia="zh-CN"/>
        </w:rPr>
        <w:t xml:space="preserve">13.1 </w:t>
      </w:r>
      <w:r>
        <w:rPr>
          <w:rFonts w:hint="eastAsia" w:ascii="宋体" w:hAnsi="宋体" w:eastAsia="宋体" w:cs="宋体"/>
          <w:sz w:val="24"/>
          <w:szCs w:val="24"/>
        </w:rPr>
        <w:t>工期</w:t>
      </w:r>
      <w:bookmarkEnd w:id="537"/>
      <w:bookmarkEnd w:id="538"/>
      <w:bookmarkEnd w:id="539"/>
      <w:bookmarkEnd w:id="540"/>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本工程须在本合同协议书中约定的时间内完成，或在根据第13.2款［因发包人原因导致工期延误］约定的延长期限内完成。本工程的任何单项工程须在</w:t>
      </w:r>
      <w:r>
        <w:rPr>
          <w:rFonts w:hint="eastAsia" w:ascii="宋体" w:hAnsi="宋体" w:eastAsia="宋体" w:cs="宋体"/>
          <w:b/>
          <w:i/>
          <w:kern w:val="0"/>
        </w:rPr>
        <w:t>专用条款</w:t>
      </w:r>
      <w:r>
        <w:rPr>
          <w:rFonts w:hint="eastAsia" w:ascii="宋体" w:hAnsi="宋体" w:eastAsia="宋体" w:cs="宋体"/>
          <w:kern w:val="0"/>
        </w:rPr>
        <w:t>约定的各段时间内完成，或在根据第13.2款［因发包人原因导致工期延误］约定的延长期限内完成。</w:t>
      </w:r>
      <w:bookmarkEnd w:id="541"/>
      <w:bookmarkStart w:id="542" w:name="_Toc34909023"/>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543" w:name="_Toc302635778"/>
      <w:bookmarkStart w:id="544" w:name="_Toc32245"/>
      <w:bookmarkStart w:id="545" w:name="_Toc67418563"/>
      <w:bookmarkStart w:id="546" w:name="_Toc305331301"/>
      <w:r>
        <w:rPr>
          <w:rFonts w:hint="eastAsia" w:ascii="宋体" w:hAnsi="宋体" w:cs="宋体"/>
          <w:sz w:val="24"/>
          <w:szCs w:val="24"/>
          <w:lang w:val="en-US" w:eastAsia="zh-CN"/>
        </w:rPr>
        <w:t xml:space="preserve">13.2 </w:t>
      </w:r>
      <w:r>
        <w:rPr>
          <w:rFonts w:hint="eastAsia" w:ascii="宋体" w:hAnsi="宋体" w:eastAsia="宋体" w:cs="宋体"/>
          <w:sz w:val="24"/>
          <w:szCs w:val="24"/>
        </w:rPr>
        <w:t>因发包人原因导致工期延误</w:t>
      </w:r>
      <w:bookmarkEnd w:id="543"/>
      <w:bookmarkEnd w:id="544"/>
      <w:bookmarkEnd w:id="545"/>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 xml:space="preserve">在合同履行过程中，因下列情况导致工期延误和（或）费用增加的，由发包人承担由此延误的工期和（或）增加的费用，且发包人应支付承包人合理的利润： </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fldChar w:fldCharType="begin"/>
      </w:r>
      <w:r>
        <w:rPr>
          <w:rFonts w:hint="eastAsia" w:ascii="宋体" w:hAnsi="宋体" w:eastAsia="宋体" w:cs="宋体"/>
          <w:kern w:val="0"/>
        </w:rPr>
        <w:instrText xml:space="preserve"> = 1 \* GB2 </w:instrText>
      </w:r>
      <w:r>
        <w:rPr>
          <w:rFonts w:hint="eastAsia" w:ascii="宋体" w:hAnsi="宋体" w:eastAsia="宋体" w:cs="宋体"/>
          <w:kern w:val="0"/>
        </w:rPr>
        <w:fldChar w:fldCharType="separate"/>
      </w:r>
      <w:r>
        <w:rPr>
          <w:rFonts w:hint="eastAsia" w:ascii="宋体" w:hAnsi="宋体" w:eastAsia="宋体" w:cs="宋体"/>
          <w:kern w:val="0"/>
        </w:rPr>
        <w:t>⑴</w:t>
      </w:r>
      <w:r>
        <w:rPr>
          <w:rFonts w:hint="eastAsia" w:ascii="宋体" w:hAnsi="宋体" w:eastAsia="宋体" w:cs="宋体"/>
          <w:kern w:val="0"/>
        </w:rPr>
        <w:fldChar w:fldCharType="end"/>
      </w:r>
      <w:r>
        <w:rPr>
          <w:rFonts w:hint="eastAsia" w:ascii="宋体" w:hAnsi="宋体" w:eastAsia="宋体" w:cs="宋体"/>
          <w:kern w:val="0"/>
        </w:rPr>
        <w:t>发包人未能按合同约定提供图纸或所提供图纸不符合合同约定的；</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fldChar w:fldCharType="begin"/>
      </w:r>
      <w:r>
        <w:rPr>
          <w:rFonts w:hint="eastAsia" w:ascii="宋体" w:hAnsi="宋体" w:eastAsia="宋体" w:cs="宋体"/>
          <w:kern w:val="0"/>
        </w:rPr>
        <w:instrText xml:space="preserve"> = 2 \* GB2 </w:instrText>
      </w:r>
      <w:r>
        <w:rPr>
          <w:rFonts w:hint="eastAsia" w:ascii="宋体" w:hAnsi="宋体" w:eastAsia="宋体" w:cs="宋体"/>
          <w:kern w:val="0"/>
        </w:rPr>
        <w:fldChar w:fldCharType="separate"/>
      </w:r>
      <w:r>
        <w:rPr>
          <w:rFonts w:hint="eastAsia" w:ascii="宋体" w:hAnsi="宋体" w:eastAsia="宋体" w:cs="宋体"/>
          <w:kern w:val="0"/>
        </w:rPr>
        <w:t>⑵</w:t>
      </w:r>
      <w:r>
        <w:rPr>
          <w:rFonts w:hint="eastAsia" w:ascii="宋体" w:hAnsi="宋体" w:eastAsia="宋体" w:cs="宋体"/>
          <w:kern w:val="0"/>
        </w:rPr>
        <w:fldChar w:fldCharType="end"/>
      </w:r>
      <w:r>
        <w:rPr>
          <w:rFonts w:hint="eastAsia" w:ascii="宋体" w:hAnsi="宋体" w:eastAsia="宋体" w:cs="宋体"/>
          <w:kern w:val="0"/>
        </w:rPr>
        <w:t>发包人未能按合同约定提供施工现场、施工条件、基础资料、许可、批准等开工条件的；</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fldChar w:fldCharType="begin"/>
      </w:r>
      <w:r>
        <w:rPr>
          <w:rFonts w:hint="eastAsia" w:ascii="宋体" w:hAnsi="宋体" w:eastAsia="宋体" w:cs="宋体"/>
          <w:kern w:val="0"/>
        </w:rPr>
        <w:instrText xml:space="preserve"> = 3 \* GB2 </w:instrText>
      </w:r>
      <w:r>
        <w:rPr>
          <w:rFonts w:hint="eastAsia" w:ascii="宋体" w:hAnsi="宋体" w:eastAsia="宋体" w:cs="宋体"/>
          <w:kern w:val="0"/>
        </w:rPr>
        <w:fldChar w:fldCharType="separate"/>
      </w:r>
      <w:r>
        <w:rPr>
          <w:rFonts w:hint="eastAsia" w:ascii="宋体" w:hAnsi="宋体" w:eastAsia="宋体" w:cs="宋体"/>
          <w:kern w:val="0"/>
        </w:rPr>
        <w:t>⑶</w:t>
      </w:r>
      <w:r>
        <w:rPr>
          <w:rFonts w:hint="eastAsia" w:ascii="宋体" w:hAnsi="宋体" w:eastAsia="宋体" w:cs="宋体"/>
          <w:kern w:val="0"/>
        </w:rPr>
        <w:fldChar w:fldCharType="end"/>
      </w:r>
      <w:r>
        <w:rPr>
          <w:rFonts w:hint="eastAsia" w:ascii="宋体" w:hAnsi="宋体" w:eastAsia="宋体" w:cs="宋体"/>
          <w:kern w:val="0"/>
        </w:rPr>
        <w:t>发包人提供的测量基准点、基准线和水准点及其书面资料存在错误或疏漏的；</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fldChar w:fldCharType="begin"/>
      </w:r>
      <w:r>
        <w:rPr>
          <w:rFonts w:hint="eastAsia" w:ascii="宋体" w:hAnsi="宋体" w:eastAsia="宋体" w:cs="宋体"/>
          <w:kern w:val="0"/>
        </w:rPr>
        <w:instrText xml:space="preserve"> = 4 \* GB2 </w:instrText>
      </w:r>
      <w:r>
        <w:rPr>
          <w:rFonts w:hint="eastAsia" w:ascii="宋体" w:hAnsi="宋体" w:eastAsia="宋体" w:cs="宋体"/>
          <w:kern w:val="0"/>
        </w:rPr>
        <w:fldChar w:fldCharType="separate"/>
      </w:r>
      <w:r>
        <w:rPr>
          <w:rFonts w:hint="eastAsia" w:ascii="宋体" w:hAnsi="宋体" w:eastAsia="宋体" w:cs="宋体"/>
          <w:kern w:val="0"/>
        </w:rPr>
        <w:t>⑷</w:t>
      </w:r>
      <w:r>
        <w:rPr>
          <w:rFonts w:hint="eastAsia" w:ascii="宋体" w:hAnsi="宋体" w:eastAsia="宋体" w:cs="宋体"/>
          <w:kern w:val="0"/>
        </w:rPr>
        <w:fldChar w:fldCharType="end"/>
      </w:r>
      <w:r>
        <w:rPr>
          <w:rFonts w:hint="eastAsia" w:ascii="宋体" w:hAnsi="宋体" w:eastAsia="宋体" w:cs="宋体"/>
          <w:kern w:val="0"/>
        </w:rPr>
        <w:t>发包人未能在计划开工日期之日起7天内同意下达开工通知的；</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fldChar w:fldCharType="begin"/>
      </w:r>
      <w:r>
        <w:rPr>
          <w:rFonts w:hint="eastAsia" w:ascii="宋体" w:hAnsi="宋体" w:eastAsia="宋体" w:cs="宋体"/>
          <w:kern w:val="0"/>
        </w:rPr>
        <w:instrText xml:space="preserve"> = 5 \* GB2 </w:instrText>
      </w:r>
      <w:r>
        <w:rPr>
          <w:rFonts w:hint="eastAsia" w:ascii="宋体" w:hAnsi="宋体" w:eastAsia="宋体" w:cs="宋体"/>
          <w:kern w:val="0"/>
        </w:rPr>
        <w:fldChar w:fldCharType="separate"/>
      </w:r>
      <w:r>
        <w:rPr>
          <w:rFonts w:hint="eastAsia" w:ascii="宋体" w:hAnsi="宋体" w:eastAsia="宋体" w:cs="宋体"/>
          <w:kern w:val="0"/>
        </w:rPr>
        <w:t>⑸</w:t>
      </w:r>
      <w:r>
        <w:rPr>
          <w:rFonts w:hint="eastAsia" w:ascii="宋体" w:hAnsi="宋体" w:eastAsia="宋体" w:cs="宋体"/>
          <w:kern w:val="0"/>
        </w:rPr>
        <w:fldChar w:fldCharType="end"/>
      </w:r>
      <w:r>
        <w:rPr>
          <w:rFonts w:hint="eastAsia" w:ascii="宋体" w:hAnsi="宋体" w:eastAsia="宋体" w:cs="宋体"/>
          <w:kern w:val="0"/>
        </w:rPr>
        <w:t>发包人未能按合同约定日期支付工程预付款、进度款或竣工结算款的；</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fldChar w:fldCharType="begin"/>
      </w:r>
      <w:r>
        <w:rPr>
          <w:rFonts w:hint="eastAsia" w:ascii="宋体" w:hAnsi="宋体" w:eastAsia="宋体" w:cs="宋体"/>
          <w:kern w:val="0"/>
        </w:rPr>
        <w:instrText xml:space="preserve"> = 6 \* GB2 </w:instrText>
      </w:r>
      <w:r>
        <w:rPr>
          <w:rFonts w:hint="eastAsia" w:ascii="宋体" w:hAnsi="宋体" w:eastAsia="宋体" w:cs="宋体"/>
          <w:kern w:val="0"/>
        </w:rPr>
        <w:fldChar w:fldCharType="separate"/>
      </w:r>
      <w:r>
        <w:rPr>
          <w:rFonts w:hint="eastAsia" w:ascii="宋体" w:hAnsi="宋体" w:eastAsia="宋体" w:cs="宋体"/>
          <w:kern w:val="0"/>
        </w:rPr>
        <w:t>⑹</w:t>
      </w:r>
      <w:r>
        <w:rPr>
          <w:rFonts w:hint="eastAsia" w:ascii="宋体" w:hAnsi="宋体" w:eastAsia="宋体" w:cs="宋体"/>
          <w:kern w:val="0"/>
        </w:rPr>
        <w:fldChar w:fldCharType="end"/>
      </w:r>
      <w:r>
        <w:rPr>
          <w:rFonts w:hint="eastAsia" w:ascii="宋体" w:hAnsi="宋体" w:eastAsia="宋体" w:cs="宋体"/>
          <w:kern w:val="0"/>
        </w:rPr>
        <w:t>监理人未按合同约定发出指示、批准等文件的；</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fldChar w:fldCharType="begin"/>
      </w:r>
      <w:r>
        <w:rPr>
          <w:rFonts w:hint="eastAsia" w:ascii="宋体" w:hAnsi="宋体" w:eastAsia="宋体" w:cs="宋体"/>
          <w:kern w:val="0"/>
        </w:rPr>
        <w:instrText xml:space="preserve"> = 7 \* GB2 </w:instrText>
      </w:r>
      <w:r>
        <w:rPr>
          <w:rFonts w:hint="eastAsia" w:ascii="宋体" w:hAnsi="宋体" w:eastAsia="宋体" w:cs="宋体"/>
          <w:kern w:val="0"/>
        </w:rPr>
        <w:fldChar w:fldCharType="separate"/>
      </w:r>
      <w:r>
        <w:rPr>
          <w:rFonts w:hint="eastAsia" w:ascii="宋体" w:hAnsi="宋体" w:eastAsia="宋体" w:cs="宋体"/>
          <w:kern w:val="0"/>
        </w:rPr>
        <w:t>⑺</w:t>
      </w:r>
      <w:r>
        <w:rPr>
          <w:rFonts w:hint="eastAsia" w:ascii="宋体" w:hAnsi="宋体" w:eastAsia="宋体" w:cs="宋体"/>
          <w:kern w:val="0"/>
        </w:rPr>
        <w:fldChar w:fldCharType="end"/>
      </w:r>
      <w:r>
        <w:rPr>
          <w:rFonts w:hint="eastAsia" w:ascii="宋体" w:hAnsi="宋体" w:eastAsia="宋体" w:cs="宋体"/>
          <w:b/>
          <w:i/>
          <w:kern w:val="0"/>
        </w:rPr>
        <w:t>专用条款</w:t>
      </w:r>
      <w:r>
        <w:rPr>
          <w:rFonts w:hint="eastAsia" w:ascii="宋体" w:hAnsi="宋体" w:eastAsia="宋体" w:cs="宋体"/>
          <w:kern w:val="0"/>
        </w:rPr>
        <w:t>中约定的其他情形。</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因发包人原因未按计划开工日期开工的，发包人应按实际开工日期顺延竣工日期，确保实际工期不低于合同约定的工期总日历天数。因发包人原因导致工期延误需要修订施工进度计划的，按照第9.3条〔工程进度计划〕对进度计划进行修订。</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547" w:name="_Toc302635779"/>
      <w:bookmarkStart w:id="548" w:name="_Toc67418564"/>
      <w:bookmarkStart w:id="549" w:name="_Toc22079"/>
      <w:r>
        <w:rPr>
          <w:rFonts w:hint="eastAsia" w:ascii="宋体" w:hAnsi="宋体" w:cs="宋体"/>
          <w:sz w:val="24"/>
          <w:szCs w:val="24"/>
          <w:lang w:val="en-US" w:eastAsia="zh-CN"/>
        </w:rPr>
        <w:t xml:space="preserve">13.3 </w:t>
      </w:r>
      <w:r>
        <w:rPr>
          <w:rFonts w:hint="eastAsia" w:ascii="宋体" w:hAnsi="宋体" w:eastAsia="宋体" w:cs="宋体"/>
          <w:sz w:val="24"/>
          <w:szCs w:val="24"/>
        </w:rPr>
        <w:t>因承包人原因导致工期延误</w:t>
      </w:r>
      <w:bookmarkEnd w:id="547"/>
      <w:bookmarkEnd w:id="548"/>
      <w:bookmarkEnd w:id="549"/>
    </w:p>
    <w:p>
      <w:pPr>
        <w:tabs>
          <w:tab w:val="left" w:pos="1620"/>
          <w:tab w:val="left" w:pos="2340"/>
        </w:tabs>
        <w:spacing w:after="156"/>
        <w:ind w:left="899"/>
        <w:jc w:val="left"/>
        <w:rPr>
          <w:rFonts w:hint="eastAsia" w:ascii="宋体" w:hAnsi="宋体" w:eastAsia="宋体" w:cs="宋体"/>
          <w:kern w:val="0"/>
        </w:rPr>
      </w:pPr>
      <w:bookmarkStart w:id="550" w:name="_Toc296503076"/>
      <w:bookmarkStart w:id="551" w:name="_Toc296346577"/>
      <w:r>
        <w:rPr>
          <w:rFonts w:hint="eastAsia" w:ascii="宋体" w:hAnsi="宋体" w:eastAsia="宋体" w:cs="宋体"/>
          <w:kern w:val="0"/>
        </w:rPr>
        <w:t>因</w:t>
      </w:r>
      <w:bookmarkEnd w:id="550"/>
      <w:bookmarkEnd w:id="551"/>
      <w:r>
        <w:rPr>
          <w:rFonts w:hint="eastAsia" w:ascii="宋体" w:hAnsi="宋体" w:eastAsia="宋体" w:cs="宋体"/>
          <w:kern w:val="0"/>
        </w:rPr>
        <w:t>承包人原因造成工期延误的，可在</w:t>
      </w:r>
      <w:r>
        <w:rPr>
          <w:rFonts w:hint="eastAsia" w:ascii="宋体" w:hAnsi="宋体" w:eastAsia="宋体" w:cs="宋体"/>
          <w:b/>
          <w:i/>
          <w:kern w:val="0"/>
        </w:rPr>
        <w:t>专用条款</w:t>
      </w:r>
      <w:r>
        <w:rPr>
          <w:rFonts w:hint="eastAsia" w:ascii="宋体" w:hAnsi="宋体" w:eastAsia="宋体" w:cs="宋体"/>
          <w:kern w:val="0"/>
        </w:rPr>
        <w:t>中约定逾期竣工违约金的计算方法和逾期竣工违约金的上限。承包人支付逾期竣工违约金后，不免除承包人继续完成工程及修补缺陷的义务。</w:t>
      </w:r>
      <w:bookmarkEnd w:id="542"/>
      <w:bookmarkEnd w:id="546"/>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552" w:name="_Toc5062"/>
      <w:bookmarkStart w:id="553" w:name="_Toc305331302"/>
      <w:bookmarkStart w:id="554" w:name="_Toc302635781"/>
      <w:bookmarkStart w:id="555" w:name="_Toc67418565"/>
      <w:r>
        <w:rPr>
          <w:rFonts w:hint="eastAsia" w:ascii="宋体" w:hAnsi="宋体" w:cs="宋体"/>
          <w:sz w:val="24"/>
          <w:szCs w:val="24"/>
          <w:lang w:val="en-US" w:eastAsia="zh-CN"/>
        </w:rPr>
        <w:t xml:space="preserve">13.4 </w:t>
      </w:r>
      <w:r>
        <w:rPr>
          <w:rFonts w:hint="eastAsia" w:ascii="宋体" w:hAnsi="宋体" w:eastAsia="宋体" w:cs="宋体"/>
          <w:sz w:val="24"/>
          <w:szCs w:val="24"/>
        </w:rPr>
        <w:t>提前竣工</w:t>
      </w:r>
      <w:bookmarkEnd w:id="552"/>
      <w:bookmarkEnd w:id="553"/>
      <w:bookmarkEnd w:id="554"/>
      <w:bookmarkEnd w:id="555"/>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承包人提出提前竣工的，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和承包人协商承担。</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⑶发包人要求承包人提前竣工，或承包人提出提前竣工的建议能够给发包人带来效益的，承发包双方可以在</w:t>
      </w:r>
      <w:r>
        <w:rPr>
          <w:rFonts w:hint="eastAsia" w:ascii="宋体" w:hAnsi="宋体" w:eastAsia="宋体" w:cs="宋体"/>
          <w:b/>
          <w:i/>
          <w:kern w:val="0"/>
        </w:rPr>
        <w:t>专用条款</w:t>
      </w:r>
      <w:r>
        <w:rPr>
          <w:rFonts w:hint="eastAsia" w:ascii="宋体" w:hAnsi="宋体" w:eastAsia="宋体" w:cs="宋体"/>
          <w:kern w:val="0"/>
        </w:rPr>
        <w:t>中约定提前竣工的奖励。</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⑷发包人要求承包人提前竣工的，若工期压缩超过按《深圳市建设工程施工工期定额》计算所得本工程定额工期20%的，应按现行《深圳市建设工程计价费率标准》规定的方法和推荐系数计算赶工措施费和夜间施工费，并扣除本工程招标控制价中已列明的赶工措施费和夜间施工费后向承包人支付补偿费用，补偿费用支付后，发包人不再按照13.4.（3）项的约定向承包人支付提前竣工奖励费。《深圳市建设工程施工工期定额》缺项的专业工程，或需采取特殊措施以缩短工期的，由发包人、承包人在</w:t>
      </w:r>
      <w:r>
        <w:rPr>
          <w:rFonts w:hint="eastAsia" w:ascii="宋体" w:hAnsi="宋体" w:eastAsia="宋体" w:cs="宋体"/>
          <w:b/>
          <w:i/>
          <w:kern w:val="0"/>
        </w:rPr>
        <w:t>专用条款</w:t>
      </w:r>
      <w:r>
        <w:rPr>
          <w:rFonts w:hint="eastAsia" w:ascii="宋体" w:hAnsi="宋体" w:eastAsia="宋体" w:cs="宋体"/>
          <w:kern w:val="0"/>
        </w:rPr>
        <w:t>中约定压缩工期补偿费用计算方法。</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556" w:name="_Toc4845"/>
      <w:bookmarkStart w:id="557" w:name="_Toc67418566"/>
      <w:bookmarkStart w:id="558" w:name="_Toc302635783"/>
      <w:bookmarkStart w:id="559" w:name="_Toc265849470"/>
      <w:bookmarkStart w:id="560" w:name="_Toc269720080"/>
      <w:bookmarkStart w:id="561" w:name="_Toc305331304"/>
      <w:r>
        <w:rPr>
          <w:rFonts w:hint="eastAsia" w:ascii="宋体" w:hAnsi="宋体" w:cs="宋体"/>
          <w:sz w:val="24"/>
          <w:szCs w:val="24"/>
          <w:lang w:val="en-US" w:eastAsia="zh-CN"/>
        </w:rPr>
        <w:t xml:space="preserve">13.5 </w:t>
      </w:r>
      <w:r>
        <w:rPr>
          <w:rFonts w:hint="eastAsia" w:ascii="宋体" w:hAnsi="宋体" w:eastAsia="宋体" w:cs="宋体"/>
          <w:sz w:val="24"/>
          <w:szCs w:val="24"/>
        </w:rPr>
        <w:t>工作时间的限制</w:t>
      </w:r>
      <w:bookmarkEnd w:id="556"/>
      <w:bookmarkEnd w:id="557"/>
      <w:bookmarkEnd w:id="558"/>
      <w:bookmarkEnd w:id="559"/>
      <w:bookmarkEnd w:id="560"/>
      <w:bookmarkEnd w:id="561"/>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承包人在夜间或国家规定的节假日进行永久工程的施工应经监理人的认可，并应遵守当地政府的有关规定或取得有关部门的批准，但是为了抢救生命或保护财产，或为了工程的安全、质量而不可避免的或绝对必要的作业，则不必事先经监理人的许可，但应在事后立即向监理人报告。</w:t>
      </w:r>
    </w:p>
    <w:p>
      <w:pPr>
        <w:pStyle w:val="2"/>
        <w:keepNext w:val="0"/>
        <w:keepLines w:val="0"/>
        <w:widowControl w:val="0"/>
        <w:tabs>
          <w:tab w:val="left" w:pos="720"/>
          <w:tab w:val="left" w:pos="1620"/>
          <w:tab w:val="left" w:pos="2340"/>
        </w:tabs>
        <w:spacing w:before="240" w:after="120"/>
        <w:ind w:left="178" w:firstLine="0"/>
        <w:rPr>
          <w:rFonts w:hint="eastAsia" w:ascii="宋体" w:hAnsi="宋体" w:eastAsia="宋体" w:cs="宋体"/>
        </w:rPr>
      </w:pPr>
      <w:bookmarkStart w:id="562" w:name="_Toc302635785"/>
      <w:bookmarkStart w:id="563" w:name="_Toc305331305"/>
      <w:bookmarkStart w:id="564" w:name="_Toc67418567"/>
      <w:bookmarkStart w:id="565" w:name="_Toc3440"/>
      <w:bookmarkStart w:id="566" w:name="_Toc34909044"/>
      <w:bookmarkStart w:id="567" w:name="_Toc35656984"/>
      <w:bookmarkStart w:id="568" w:name="_Toc35656482"/>
      <w:r>
        <w:rPr>
          <w:rFonts w:hint="eastAsia" w:ascii="宋体" w:cs="宋体"/>
          <w:lang w:val="en-US" w:eastAsia="zh-CN"/>
        </w:rPr>
        <w:t xml:space="preserve">14 </w:t>
      </w:r>
      <w:r>
        <w:rPr>
          <w:rFonts w:hint="eastAsia" w:ascii="宋体" w:hAnsi="宋体" w:eastAsia="宋体" w:cs="宋体"/>
        </w:rPr>
        <w:t>材料设备的供应和检验</w:t>
      </w:r>
      <w:bookmarkEnd w:id="562"/>
      <w:bookmarkEnd w:id="563"/>
      <w:bookmarkEnd w:id="564"/>
      <w:bookmarkEnd w:id="565"/>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569" w:name="_Toc302635786"/>
      <w:bookmarkStart w:id="570" w:name="_Toc305331306"/>
      <w:bookmarkStart w:id="571" w:name="_Toc67418568"/>
      <w:bookmarkStart w:id="572" w:name="_Toc6262"/>
      <w:r>
        <w:rPr>
          <w:rFonts w:hint="eastAsia" w:ascii="宋体" w:hAnsi="宋体" w:cs="宋体"/>
          <w:sz w:val="24"/>
          <w:szCs w:val="24"/>
          <w:lang w:val="en-US" w:eastAsia="zh-CN"/>
        </w:rPr>
        <w:t xml:space="preserve">14.1 </w:t>
      </w:r>
      <w:r>
        <w:rPr>
          <w:rFonts w:hint="eastAsia" w:ascii="宋体" w:hAnsi="宋体" w:eastAsia="宋体" w:cs="宋体"/>
          <w:sz w:val="24"/>
          <w:szCs w:val="24"/>
        </w:rPr>
        <w:t>发包人供应材料设备</w:t>
      </w:r>
      <w:bookmarkEnd w:id="566"/>
      <w:bookmarkEnd w:id="567"/>
      <w:bookmarkEnd w:id="568"/>
      <w:bookmarkEnd w:id="569"/>
      <w:bookmarkEnd w:id="570"/>
      <w:bookmarkEnd w:id="571"/>
      <w:bookmarkEnd w:id="572"/>
    </w:p>
    <w:p>
      <w:pPr>
        <w:tabs>
          <w:tab w:val="left" w:pos="1620"/>
          <w:tab w:val="left" w:pos="2340"/>
        </w:tabs>
        <w:spacing w:after="156"/>
        <w:ind w:left="899"/>
        <w:jc w:val="left"/>
        <w:rPr>
          <w:rFonts w:hint="eastAsia" w:ascii="宋体" w:hAnsi="宋体" w:eastAsia="宋体" w:cs="宋体"/>
          <w:kern w:val="0"/>
        </w:rPr>
      </w:pPr>
      <w:bookmarkStart w:id="573" w:name="_Toc34909045"/>
      <w:r>
        <w:rPr>
          <w:rFonts w:hint="eastAsia" w:ascii="宋体" w:hAnsi="宋体" w:eastAsia="宋体" w:cs="宋体"/>
          <w:kern w:val="0"/>
        </w:rPr>
        <w:t>⑴发包人供应材料设备的，应在</w:t>
      </w:r>
      <w:r>
        <w:rPr>
          <w:rFonts w:hint="eastAsia" w:ascii="宋体" w:hAnsi="宋体" w:eastAsia="宋体" w:cs="宋体"/>
          <w:b/>
          <w:i/>
          <w:kern w:val="0"/>
        </w:rPr>
        <w:t>专用条款</w:t>
      </w:r>
      <w:r>
        <w:rPr>
          <w:rFonts w:hint="eastAsia" w:ascii="宋体" w:hAnsi="宋体" w:eastAsia="宋体" w:cs="宋体"/>
          <w:kern w:val="0"/>
        </w:rPr>
        <w:t>中列出相应材料设备清单。材料设备清单中应约定发包人供应材料设备的品种、规格、型号、数量、单价、质量等级、提供时间和地点。发包人应按材料设备清单中的约定向承包人提供材料设备，并提供产品质量合格证明，对材料设备质量负责。承包人按照第9.3条〔工程进度计划〕约定修订施工进度计划时，需同时提交经修订后的发包人供应材料与工程设备的进场计划。</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⑵承包人应提前30天通过监理人以书面形式通知发包人供应材料与工程设备进场。发包人在所供材料设备到货前24小时通知承包人，</w:t>
      </w:r>
      <w:r>
        <w:rPr>
          <w:rFonts w:hint="eastAsia" w:ascii="宋体" w:hAnsi="宋体" w:eastAsia="宋体" w:cs="宋体"/>
        </w:rPr>
        <w:t>货物运到施工场地后，发包人和承包人</w:t>
      </w:r>
      <w:r>
        <w:rPr>
          <w:rFonts w:hint="eastAsia" w:ascii="宋体" w:hAnsi="宋体" w:eastAsia="宋体" w:cs="宋体"/>
          <w:kern w:val="0"/>
        </w:rPr>
        <w:t>双方在监理人的见证下进行验收交接，并按承包人指定的地点和方式堆放。</w:t>
      </w:r>
      <w:bookmarkEnd w:id="573"/>
      <w:r>
        <w:rPr>
          <w:rFonts w:hint="eastAsia" w:ascii="宋体" w:hAnsi="宋体" w:eastAsia="宋体" w:cs="宋体"/>
          <w:kern w:val="0"/>
        </w:rPr>
        <w:t>承发包双方完成交验后，发包人仍应对由其提供的材料设备承担有关质量责任。</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⑶发包人对其供应的材料设备履行完毕14.1⑵款约定验交程序，且承包人接收后，由承包人负责保管，因承包人原因发生的丢失、盗失、毁损等由承包人负责赔偿。发包人按</w:t>
      </w:r>
      <w:r>
        <w:rPr>
          <w:rFonts w:hint="eastAsia" w:ascii="宋体" w:hAnsi="宋体" w:eastAsia="宋体" w:cs="宋体"/>
          <w:b/>
          <w:i/>
          <w:kern w:val="0"/>
        </w:rPr>
        <w:t>专用条款</w:t>
      </w:r>
      <w:r>
        <w:rPr>
          <w:rFonts w:hint="eastAsia" w:ascii="宋体" w:hAnsi="宋体" w:eastAsia="宋体" w:cs="宋体"/>
          <w:kern w:val="0"/>
        </w:rPr>
        <w:t>约定向承包人支付发包人供应材料设备保管费。发包人供应材料设备保管费是指承包人对发包人自行采购的材料设备进行保管服务及现场管理所需的费用。发包人供应材料设备保管费的计算基数为发包人供应材料设备结算价款。</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⑷如发包人未履行14.1⑵款约定的验交程序，则承包人不负责保管，发生的丢失、盗失、毁损等由发包人负责，但承包人没有提出异议，且已收取发包人支付的相应保管费用的除外。承包人</w:t>
      </w:r>
      <w:r>
        <w:rPr>
          <w:rFonts w:hint="eastAsia" w:ascii="宋体" w:hAnsi="宋体" w:eastAsia="宋体" w:cs="宋体"/>
        </w:rPr>
        <w:t>未按发包人通知要求参加验收的，视为承包人已验收合格，相应的保管责任由承包人承担。</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574" w:name="_Toc8295"/>
      <w:bookmarkStart w:id="575" w:name="_Toc302635787"/>
      <w:bookmarkStart w:id="576" w:name="_Toc305331307"/>
      <w:bookmarkStart w:id="577" w:name="_Toc67418569"/>
      <w:bookmarkStart w:id="578" w:name="_Toc34909049"/>
      <w:r>
        <w:rPr>
          <w:rFonts w:hint="eastAsia" w:ascii="宋体" w:hAnsi="宋体" w:cs="宋体"/>
          <w:sz w:val="24"/>
          <w:szCs w:val="24"/>
          <w:lang w:val="en-US" w:eastAsia="zh-CN"/>
        </w:rPr>
        <w:t xml:space="preserve">14.2 </w:t>
      </w:r>
      <w:r>
        <w:rPr>
          <w:rFonts w:hint="eastAsia" w:ascii="宋体" w:hAnsi="宋体" w:eastAsia="宋体" w:cs="宋体"/>
          <w:sz w:val="24"/>
          <w:szCs w:val="24"/>
        </w:rPr>
        <w:t>发包人供应材料设备的结算</w:t>
      </w:r>
      <w:bookmarkEnd w:id="574"/>
      <w:bookmarkEnd w:id="575"/>
      <w:bookmarkEnd w:id="576"/>
      <w:bookmarkEnd w:id="577"/>
    </w:p>
    <w:bookmarkEnd w:id="578"/>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除非</w:t>
      </w:r>
      <w:r>
        <w:rPr>
          <w:rFonts w:hint="eastAsia" w:ascii="宋体" w:hAnsi="宋体" w:eastAsia="宋体" w:cs="宋体"/>
          <w:b/>
          <w:i/>
          <w:kern w:val="0"/>
        </w:rPr>
        <w:t>专用条款</w:t>
      </w:r>
      <w:r>
        <w:rPr>
          <w:rFonts w:hint="eastAsia" w:ascii="宋体" w:hAnsi="宋体" w:eastAsia="宋体" w:cs="宋体"/>
          <w:kern w:val="0"/>
        </w:rPr>
        <w:t>中另有约定，本工程发包人供应材料设备按如下方式结算：</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⑴承包人按发包人要求、竣工图纸和工程造价管理机构发布的相关消耗量定额计算本工程需用的发包人供应材料设备的合理数量，经监理人审核后报发包人确认；</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 xml:space="preserve">⑵发包人供应材料设备的结算单价按照发包人通过招标或询价采购等方式确定的材料设备单价计算； </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⑶承包人实际使用发包人供应材料设备的数量超过14.2⑴款确认的合理数量，超出部分的费用由承包人承担；承包人实际使用发包人供应材料设备的数量小于14.2⑴款确认的合理数量，节约的费用按</w:t>
      </w:r>
      <w:r>
        <w:rPr>
          <w:rFonts w:hint="eastAsia" w:ascii="宋体" w:hAnsi="宋体" w:eastAsia="宋体" w:cs="宋体"/>
          <w:b/>
          <w:i/>
          <w:kern w:val="0"/>
        </w:rPr>
        <w:t>专用条款</w:t>
      </w:r>
      <w:r>
        <w:rPr>
          <w:rFonts w:hint="eastAsia" w:ascii="宋体" w:hAnsi="宋体" w:eastAsia="宋体" w:cs="宋体"/>
          <w:kern w:val="0"/>
        </w:rPr>
        <w:t>约定进行分配；</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⑷承包人的投标报价中已包括发包人供应材料设备的场内运输费、安装费，结算时不因发包人供应材料设备单价的变化而调整。</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579" w:name="_Toc305331308"/>
      <w:bookmarkStart w:id="580" w:name="_Toc67418570"/>
      <w:bookmarkStart w:id="581" w:name="_Toc302635788"/>
      <w:bookmarkStart w:id="582" w:name="_Toc886"/>
      <w:bookmarkStart w:id="583" w:name="_Toc34909047"/>
      <w:r>
        <w:rPr>
          <w:rFonts w:hint="eastAsia" w:ascii="宋体" w:hAnsi="宋体" w:cs="宋体"/>
          <w:sz w:val="24"/>
          <w:szCs w:val="24"/>
          <w:lang w:val="en-US" w:eastAsia="zh-CN"/>
        </w:rPr>
        <w:t xml:space="preserve">14.3 </w:t>
      </w:r>
      <w:r>
        <w:rPr>
          <w:rFonts w:hint="eastAsia" w:ascii="宋体" w:hAnsi="宋体" w:eastAsia="宋体" w:cs="宋体"/>
          <w:sz w:val="24"/>
          <w:szCs w:val="24"/>
        </w:rPr>
        <w:t>发包人供应材料设备承担的责任</w:t>
      </w:r>
      <w:bookmarkEnd w:id="579"/>
      <w:bookmarkEnd w:id="580"/>
      <w:bookmarkEnd w:id="581"/>
      <w:bookmarkEnd w:id="582"/>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发包人供应的材料设备与专用条款14.1（1）发包人供应材料设备清单中的约定不符时，发包人承担相关责任，具体如下：</w:t>
      </w:r>
      <w:bookmarkEnd w:id="583"/>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⑴材料设备单价不符合约定，由发包人承担所有价差；</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⑵材料设备的品种、规格、型号、质量等级不符合约定，承包人可拒绝接收、保管，由发包人负责运出施工场地并重新采购；</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⑶材料设备的到货地点不符合约定，由发包人负责运至材料设备清单约定的地点；</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⑷材料设备供应数量不符合约定，多于清单中约定的数量时由发包人负责运出施工场地，少于清单中约定数量时由发包人负责补齐；</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⑸材料设备到货交接时间不符合约定，早于约定时间的由发包人承担因此产生的保管费用，迟于约定时间给承包人造成损失和(或)导致工期延误的，发包人应赔偿承包人损失，顺延延误的工期。</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584" w:name="_Toc35656483"/>
      <w:bookmarkStart w:id="585" w:name="_Toc34909050"/>
      <w:bookmarkStart w:id="586" w:name="_Toc305331309"/>
      <w:bookmarkStart w:id="587" w:name="_Toc18387"/>
      <w:bookmarkStart w:id="588" w:name="_Toc67418571"/>
      <w:bookmarkStart w:id="589" w:name="_Toc35656985"/>
      <w:bookmarkStart w:id="590" w:name="_Toc302635789"/>
      <w:r>
        <w:rPr>
          <w:rFonts w:hint="eastAsia" w:ascii="宋体" w:hAnsi="宋体" w:cs="宋体"/>
          <w:sz w:val="24"/>
          <w:szCs w:val="24"/>
          <w:lang w:val="en-US" w:eastAsia="zh-CN"/>
        </w:rPr>
        <w:t xml:space="preserve">14.4 </w:t>
      </w:r>
      <w:r>
        <w:rPr>
          <w:rFonts w:hint="eastAsia" w:ascii="宋体" w:hAnsi="宋体" w:eastAsia="宋体" w:cs="宋体"/>
          <w:sz w:val="24"/>
          <w:szCs w:val="24"/>
        </w:rPr>
        <w:t>承包人采购材料设备</w:t>
      </w:r>
      <w:bookmarkEnd w:id="584"/>
      <w:bookmarkEnd w:id="585"/>
      <w:bookmarkEnd w:id="586"/>
      <w:bookmarkEnd w:id="587"/>
      <w:bookmarkEnd w:id="588"/>
      <w:bookmarkEnd w:id="589"/>
      <w:bookmarkEnd w:id="590"/>
    </w:p>
    <w:p>
      <w:pPr>
        <w:tabs>
          <w:tab w:val="left" w:pos="1620"/>
          <w:tab w:val="left" w:pos="2340"/>
        </w:tabs>
        <w:spacing w:after="156"/>
        <w:ind w:left="899"/>
        <w:jc w:val="left"/>
        <w:rPr>
          <w:rFonts w:hint="eastAsia" w:ascii="宋体" w:hAnsi="宋体" w:eastAsia="宋体" w:cs="宋体"/>
          <w:kern w:val="0"/>
        </w:rPr>
      </w:pPr>
      <w:bookmarkStart w:id="591" w:name="_Toc34909051"/>
      <w:r>
        <w:rPr>
          <w:rFonts w:hint="eastAsia" w:ascii="宋体" w:hAnsi="宋体" w:eastAsia="宋体" w:cs="宋体"/>
          <w:kern w:val="0"/>
        </w:rPr>
        <w:t>承包人负责采购的材料设备，应符合设计、标准、规范、招标文件、</w:t>
      </w:r>
      <w:r>
        <w:rPr>
          <w:rFonts w:hint="eastAsia" w:ascii="宋体" w:hAnsi="宋体" w:eastAsia="宋体" w:cs="宋体"/>
          <w:b/>
          <w:i/>
          <w:kern w:val="0"/>
        </w:rPr>
        <w:t>专用条款</w:t>
      </w:r>
      <w:r>
        <w:rPr>
          <w:rFonts w:hint="eastAsia" w:ascii="宋体" w:hAnsi="宋体" w:eastAsia="宋体" w:cs="宋体"/>
          <w:kern w:val="0"/>
        </w:rPr>
        <w:t>约定的要求以及投标文件的承诺，并提供产品质量合格证明，承包人对材料设备质量负责。合同约定由承包人采购的材料、工程设备，发包人不得指定生产厂家或供应商，发包人违反本款约定指定生产厂家或供应商的，承包人有权拒绝。</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承包人应负责其采购的所有材料设备的包装、运输、接收、装卸、存储和保护，并承担因货物运输引起的民事和(或)刑事责任。承包人应在材料设备到货前24小时通知发包人，双方在监理人的见证下进行联合验收。</w:t>
      </w:r>
      <w:bookmarkEnd w:id="591"/>
      <w:bookmarkStart w:id="592" w:name="_Toc34909054"/>
    </w:p>
    <w:bookmarkEnd w:id="592"/>
    <w:p>
      <w:pPr>
        <w:pStyle w:val="3"/>
        <w:tabs>
          <w:tab w:val="left" w:pos="540"/>
          <w:tab w:val="left" w:pos="900"/>
        </w:tabs>
        <w:spacing w:before="120" w:after="156"/>
        <w:ind w:left="359" w:firstLine="0"/>
        <w:jc w:val="left"/>
        <w:rPr>
          <w:rFonts w:hint="eastAsia" w:ascii="宋体" w:hAnsi="宋体" w:eastAsia="宋体" w:cs="宋体"/>
          <w:sz w:val="24"/>
          <w:szCs w:val="24"/>
        </w:rPr>
      </w:pPr>
      <w:bookmarkStart w:id="593" w:name="_Toc67418572"/>
      <w:bookmarkStart w:id="594" w:name="_Toc305331310"/>
      <w:bookmarkStart w:id="595" w:name="_Toc22413"/>
      <w:bookmarkStart w:id="596" w:name="_Toc302635790"/>
      <w:bookmarkStart w:id="597" w:name="_Toc34909052"/>
      <w:r>
        <w:rPr>
          <w:rFonts w:hint="eastAsia" w:ascii="宋体" w:hAnsi="宋体" w:cs="宋体"/>
          <w:sz w:val="24"/>
          <w:szCs w:val="24"/>
          <w:lang w:val="en-US" w:eastAsia="zh-CN"/>
        </w:rPr>
        <w:t xml:space="preserve">14.5 </w:t>
      </w:r>
      <w:r>
        <w:rPr>
          <w:rFonts w:hint="eastAsia" w:ascii="宋体" w:hAnsi="宋体" w:eastAsia="宋体" w:cs="宋体"/>
          <w:sz w:val="24"/>
          <w:szCs w:val="24"/>
        </w:rPr>
        <w:t>承包人采购材料设备承担的责任</w:t>
      </w:r>
      <w:bookmarkEnd w:id="593"/>
      <w:bookmarkEnd w:id="594"/>
      <w:bookmarkEnd w:id="595"/>
      <w:bookmarkEnd w:id="596"/>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⑴承包人采购的材料设备与14.4款约定的要求不符时，承包人应按监理人要求的时间运出施工场地，重新采购符合要求的材料设备，承担因此产生的费用，由此延误的工期不予顺延。</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⑵承包人使用了不符合14.4款约定要求的材料设备，则应按监理人的指令负责修复、拆除或重新采购，并承担因此产生的费用，由此延误的工期不予顺延。</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598" w:name="_Toc302635791"/>
      <w:bookmarkStart w:id="599" w:name="_Toc67418573"/>
      <w:bookmarkStart w:id="600" w:name="_Toc24991"/>
      <w:r>
        <w:rPr>
          <w:rFonts w:hint="eastAsia" w:ascii="宋体" w:hAnsi="宋体" w:cs="宋体"/>
          <w:sz w:val="24"/>
          <w:szCs w:val="24"/>
          <w:lang w:val="en-US" w:eastAsia="zh-CN"/>
        </w:rPr>
        <w:t xml:space="preserve">14.6 </w:t>
      </w:r>
      <w:r>
        <w:rPr>
          <w:rFonts w:hint="eastAsia" w:ascii="宋体" w:hAnsi="宋体" w:eastAsia="宋体" w:cs="宋体"/>
          <w:sz w:val="24"/>
          <w:szCs w:val="24"/>
        </w:rPr>
        <w:t>材料和工程设备的替代</w:t>
      </w:r>
      <w:bookmarkEnd w:id="598"/>
      <w:bookmarkEnd w:id="599"/>
      <w:bookmarkEnd w:id="600"/>
    </w:p>
    <w:p>
      <w:pPr>
        <w:tabs>
          <w:tab w:val="left" w:pos="1620"/>
          <w:tab w:val="left" w:pos="2340"/>
        </w:tabs>
        <w:spacing w:after="156"/>
        <w:ind w:left="850" w:leftChars="405" w:firstLine="92" w:firstLineChars="44"/>
        <w:jc w:val="left"/>
        <w:rPr>
          <w:rFonts w:hint="eastAsia" w:ascii="宋体" w:hAnsi="宋体" w:eastAsia="宋体" w:cs="宋体"/>
          <w:kern w:val="0"/>
        </w:rPr>
      </w:pPr>
      <w:r>
        <w:rPr>
          <w:rFonts w:hint="eastAsia" w:ascii="宋体" w:hAnsi="宋体" w:eastAsia="宋体" w:cs="宋体"/>
          <w:kern w:val="0"/>
        </w:rPr>
        <w:t>⑴出现下列情况需要使用替代材料和工程设备的，承包人应按照第14.6.（2）项约定的程序执行：</w:t>
      </w:r>
    </w:p>
    <w:p>
      <w:pPr>
        <w:tabs>
          <w:tab w:val="left" w:pos="1620"/>
          <w:tab w:val="left" w:pos="2340"/>
        </w:tabs>
        <w:spacing w:after="156"/>
        <w:ind w:left="1109" w:leftChars="528"/>
        <w:jc w:val="left"/>
        <w:rPr>
          <w:rFonts w:hint="eastAsia" w:ascii="宋体" w:hAnsi="宋体" w:eastAsia="宋体" w:cs="宋体"/>
          <w:kern w:val="0"/>
        </w:rPr>
      </w:pPr>
      <w:r>
        <w:rPr>
          <w:rFonts w:hint="eastAsia" w:ascii="宋体" w:hAnsi="宋体" w:eastAsia="宋体" w:cs="宋体"/>
          <w:kern w:val="0"/>
        </w:rPr>
        <w:t>①基准日期后生效的法律规定禁止使用的；</w:t>
      </w:r>
    </w:p>
    <w:p>
      <w:pPr>
        <w:tabs>
          <w:tab w:val="left" w:pos="1620"/>
          <w:tab w:val="left" w:pos="2340"/>
        </w:tabs>
        <w:spacing w:after="156"/>
        <w:ind w:left="1109" w:leftChars="528"/>
        <w:jc w:val="left"/>
        <w:rPr>
          <w:rFonts w:hint="eastAsia" w:ascii="宋体" w:hAnsi="宋体" w:eastAsia="宋体" w:cs="宋体"/>
          <w:kern w:val="0"/>
        </w:rPr>
      </w:pPr>
      <w:r>
        <w:rPr>
          <w:rFonts w:hint="eastAsia" w:ascii="宋体" w:hAnsi="宋体" w:eastAsia="宋体" w:cs="宋体"/>
          <w:kern w:val="0"/>
        </w:rPr>
        <w:t>②发包人要求使用替代品的；</w:t>
      </w:r>
    </w:p>
    <w:p>
      <w:pPr>
        <w:tabs>
          <w:tab w:val="left" w:pos="1620"/>
          <w:tab w:val="left" w:pos="2340"/>
        </w:tabs>
        <w:spacing w:after="156"/>
        <w:ind w:left="1109" w:leftChars="528"/>
        <w:jc w:val="left"/>
        <w:rPr>
          <w:rFonts w:hint="eastAsia" w:ascii="宋体" w:hAnsi="宋体" w:eastAsia="宋体" w:cs="宋体"/>
          <w:kern w:val="0"/>
        </w:rPr>
      </w:pPr>
      <w:r>
        <w:rPr>
          <w:rFonts w:hint="eastAsia" w:ascii="宋体" w:hAnsi="宋体" w:eastAsia="宋体" w:cs="宋体"/>
          <w:kern w:val="0"/>
        </w:rPr>
        <w:t>③因其他原因必须使用替代品的。</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⑵承包人需要使用替代材料设备应在</w:t>
      </w:r>
      <w:r>
        <w:rPr>
          <w:rFonts w:hint="eastAsia" w:ascii="宋体" w:hAnsi="宋体" w:eastAsia="宋体" w:cs="宋体"/>
          <w:b/>
          <w:i/>
          <w:kern w:val="0"/>
        </w:rPr>
        <w:t>专用条款</w:t>
      </w:r>
      <w:r>
        <w:rPr>
          <w:rFonts w:hint="eastAsia" w:ascii="宋体" w:hAnsi="宋体" w:eastAsia="宋体" w:cs="宋体"/>
          <w:kern w:val="0"/>
        </w:rPr>
        <w:t>约定的时限前向监理人提出申请，监理人应在</w:t>
      </w:r>
      <w:r>
        <w:rPr>
          <w:rFonts w:hint="eastAsia" w:ascii="宋体" w:hAnsi="宋体" w:eastAsia="宋体" w:cs="宋体"/>
          <w:b/>
          <w:i/>
          <w:kern w:val="0"/>
        </w:rPr>
        <w:t>专用条款</w:t>
      </w:r>
      <w:r>
        <w:rPr>
          <w:rFonts w:hint="eastAsia" w:ascii="宋体" w:hAnsi="宋体" w:eastAsia="宋体" w:cs="宋体"/>
          <w:kern w:val="0"/>
        </w:rPr>
        <w:t>约定的时限内发书面指示报发包人</w:t>
      </w:r>
      <w:bookmarkEnd w:id="597"/>
      <w:r>
        <w:rPr>
          <w:rFonts w:hint="eastAsia" w:ascii="宋体" w:hAnsi="宋体" w:eastAsia="宋体" w:cs="宋体"/>
          <w:kern w:val="0"/>
        </w:rPr>
        <w:t>，监理人逾期发出书面指示的，视为发包人和监理人同意使用替代品。替代材料设备的品质、标准、性能不能低于被替代材料，因此增减的合同价格和产生的费用的承担，承发包双方在</w:t>
      </w:r>
      <w:r>
        <w:rPr>
          <w:rFonts w:hint="eastAsia" w:ascii="宋体" w:hAnsi="宋体" w:eastAsia="宋体" w:cs="宋体"/>
          <w:b/>
          <w:i/>
          <w:kern w:val="0"/>
        </w:rPr>
        <w:t>专用条款</w:t>
      </w:r>
      <w:r>
        <w:rPr>
          <w:rFonts w:hint="eastAsia" w:ascii="宋体" w:hAnsi="宋体" w:eastAsia="宋体" w:cs="宋体"/>
          <w:kern w:val="0"/>
        </w:rPr>
        <w:t>中约定。</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601" w:name="_Toc34909031"/>
      <w:bookmarkStart w:id="602" w:name="_Toc35656983"/>
      <w:bookmarkStart w:id="603" w:name="_Toc35656481"/>
      <w:bookmarkStart w:id="604" w:name="_Toc26779"/>
      <w:bookmarkStart w:id="605" w:name="_Toc67418574"/>
      <w:bookmarkStart w:id="606" w:name="_Toc302635792"/>
      <w:bookmarkStart w:id="607" w:name="_Toc305331312"/>
      <w:r>
        <w:rPr>
          <w:rFonts w:hint="eastAsia" w:ascii="宋体" w:hAnsi="宋体" w:cs="宋体"/>
          <w:sz w:val="24"/>
          <w:szCs w:val="24"/>
          <w:lang w:val="en-US" w:eastAsia="zh-CN"/>
        </w:rPr>
        <w:t xml:space="preserve">14.7 </w:t>
      </w:r>
      <w:r>
        <w:rPr>
          <w:rFonts w:hint="eastAsia" w:ascii="宋体" w:hAnsi="宋体" w:eastAsia="宋体" w:cs="宋体"/>
          <w:sz w:val="24"/>
          <w:szCs w:val="24"/>
        </w:rPr>
        <w:t>材料设备</w:t>
      </w:r>
      <w:bookmarkEnd w:id="601"/>
      <w:bookmarkEnd w:id="602"/>
      <w:bookmarkEnd w:id="603"/>
      <w:r>
        <w:rPr>
          <w:rFonts w:hint="eastAsia" w:ascii="宋体" w:hAnsi="宋体" w:eastAsia="宋体" w:cs="宋体"/>
          <w:sz w:val="24"/>
          <w:szCs w:val="24"/>
        </w:rPr>
        <w:t>的检验</w:t>
      </w:r>
      <w:bookmarkEnd w:id="604"/>
      <w:bookmarkEnd w:id="605"/>
      <w:bookmarkEnd w:id="606"/>
      <w:bookmarkEnd w:id="607"/>
    </w:p>
    <w:p>
      <w:pPr>
        <w:tabs>
          <w:tab w:val="left" w:pos="1620"/>
          <w:tab w:val="left" w:pos="2340"/>
        </w:tabs>
        <w:spacing w:after="156"/>
        <w:ind w:left="899"/>
        <w:jc w:val="left"/>
        <w:rPr>
          <w:rFonts w:hint="eastAsia" w:ascii="宋体" w:hAnsi="宋体" w:eastAsia="宋体" w:cs="宋体"/>
          <w:kern w:val="0"/>
        </w:rPr>
      </w:pPr>
      <w:bookmarkStart w:id="608" w:name="_Toc34909032"/>
      <w:r>
        <w:rPr>
          <w:rFonts w:hint="eastAsia" w:ascii="宋体" w:hAnsi="宋体" w:eastAsia="宋体" w:cs="宋体"/>
          <w:kern w:val="0"/>
        </w:rPr>
        <w:t>⑴本工程一切材料设备在</w:t>
      </w:r>
      <w:bookmarkEnd w:id="608"/>
      <w:bookmarkStart w:id="609" w:name="_Toc34909033"/>
      <w:r>
        <w:rPr>
          <w:rFonts w:hint="eastAsia" w:ascii="宋体" w:hAnsi="宋体" w:eastAsia="宋体" w:cs="宋体"/>
          <w:kern w:val="0"/>
        </w:rPr>
        <w:t>用于本工程之前，均应按照法律、法规、规章和有关标准、规范的规定以及</w:t>
      </w:r>
      <w:r>
        <w:rPr>
          <w:rFonts w:hint="eastAsia" w:ascii="宋体" w:hAnsi="宋体" w:eastAsia="宋体" w:cs="宋体"/>
          <w:b/>
          <w:i/>
          <w:kern w:val="0"/>
        </w:rPr>
        <w:t>专用条款</w:t>
      </w:r>
      <w:r>
        <w:rPr>
          <w:rFonts w:hint="eastAsia" w:ascii="宋体" w:hAnsi="宋体" w:eastAsia="宋体" w:cs="宋体"/>
          <w:kern w:val="0"/>
        </w:rPr>
        <w:t>约定的检验时间和地点、取样办法、检验频次和内容等要求，在监理人的监督、见证下，由承包人负责取样并送</w:t>
      </w:r>
      <w:r>
        <w:rPr>
          <w:rFonts w:hint="eastAsia" w:ascii="宋体" w:hAnsi="宋体" w:eastAsia="宋体" w:cs="宋体"/>
          <w:b/>
          <w:i/>
          <w:kern w:val="0"/>
        </w:rPr>
        <w:t>专用条款</w:t>
      </w:r>
      <w:r>
        <w:rPr>
          <w:rFonts w:hint="eastAsia" w:ascii="宋体" w:hAnsi="宋体" w:eastAsia="宋体" w:cs="宋体"/>
          <w:kern w:val="0"/>
        </w:rPr>
        <w:t>指定的检验机构进行检验，不合格的不得使用。</w:t>
      </w:r>
      <w:bookmarkEnd w:id="609"/>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w:t>
      </w:r>
      <w:bookmarkStart w:id="610" w:name="_Toc34909035"/>
      <w:r>
        <w:rPr>
          <w:rFonts w:hint="eastAsia" w:ascii="宋体" w:hAnsi="宋体" w:eastAsia="宋体" w:cs="宋体"/>
          <w:kern w:val="0"/>
        </w:rPr>
        <w:t>拟用于本工程的材料设备应当经检验合格后使用。发包人供应的材料设备的检验费用由发包人承担；承包人采购的材料设备检验费用由承包人承担。</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⑶发包人对具有出厂合格证明材料设备的检验，构件的破坏性检验、其他特殊要求的检验及发包人委托检测机构进行的检测，如经检验合格的，检验费用由发包人承担</w:t>
      </w:r>
      <w:bookmarkEnd w:id="610"/>
      <w:r>
        <w:rPr>
          <w:rFonts w:hint="eastAsia" w:ascii="宋体" w:hAnsi="宋体" w:eastAsia="宋体" w:cs="宋体"/>
          <w:kern w:val="0"/>
        </w:rPr>
        <w:t>；</w:t>
      </w:r>
      <w:bookmarkStart w:id="611" w:name="_Toc34909036"/>
      <w:r>
        <w:rPr>
          <w:rFonts w:hint="eastAsia" w:ascii="宋体" w:hAnsi="宋体" w:eastAsia="宋体" w:cs="宋体"/>
          <w:kern w:val="0"/>
        </w:rPr>
        <w:t>若检验不合格且为承包人采购的材料设备，检验费用由承包人承担。</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612" w:name="_Toc12609"/>
      <w:bookmarkStart w:id="613" w:name="_Toc305331313"/>
      <w:bookmarkStart w:id="614" w:name="_Toc302635793"/>
      <w:bookmarkStart w:id="615" w:name="_Toc67418575"/>
      <w:r>
        <w:rPr>
          <w:rFonts w:hint="eastAsia" w:ascii="宋体" w:hAnsi="宋体" w:cs="宋体"/>
          <w:sz w:val="24"/>
          <w:szCs w:val="24"/>
          <w:lang w:val="en-US" w:eastAsia="zh-CN"/>
        </w:rPr>
        <w:t xml:space="preserve">14.8 </w:t>
      </w:r>
      <w:r>
        <w:rPr>
          <w:rFonts w:hint="eastAsia" w:ascii="宋体" w:hAnsi="宋体" w:eastAsia="宋体" w:cs="宋体"/>
          <w:sz w:val="24"/>
          <w:szCs w:val="24"/>
        </w:rPr>
        <w:t>材料设备的再次检验和随时检查</w:t>
      </w:r>
      <w:bookmarkEnd w:id="612"/>
      <w:bookmarkEnd w:id="613"/>
      <w:bookmarkEnd w:id="614"/>
      <w:bookmarkEnd w:id="615"/>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如监理人认为需要，可要求对材料设备进行再次检验。发包人供应的材料设备，再次检验费用由发包人承担。承包人采购的材料设备，如再次检验结果表明该材料设备不符合有关标准、规范的规定或本合同的约定，检验费用由承包人承担，否则由发包人承担。</w:t>
      </w:r>
      <w:bookmarkEnd w:id="611"/>
    </w:p>
    <w:p>
      <w:pPr>
        <w:tabs>
          <w:tab w:val="left" w:pos="1620"/>
          <w:tab w:val="left" w:pos="2340"/>
        </w:tabs>
        <w:spacing w:after="156"/>
        <w:ind w:left="899"/>
        <w:jc w:val="left"/>
        <w:rPr>
          <w:rFonts w:hint="eastAsia" w:ascii="宋体" w:hAnsi="宋体" w:eastAsia="宋体" w:cs="宋体"/>
          <w:kern w:val="0"/>
        </w:rPr>
      </w:pPr>
      <w:bookmarkStart w:id="616" w:name="_Toc34909037"/>
      <w:r>
        <w:rPr>
          <w:rFonts w:hint="eastAsia" w:ascii="宋体" w:hAnsi="宋体" w:eastAsia="宋体" w:cs="宋体"/>
          <w:kern w:val="0"/>
        </w:rPr>
        <w:t>⑵监理人在一切合理的时间内均应能进入施工现场以及半成品的制造、加工或制配的所有车间和场所，承包人应为其进入上述场所提供一切便利和协助。</w:t>
      </w:r>
      <w:bookmarkEnd w:id="616"/>
    </w:p>
    <w:p>
      <w:pPr>
        <w:pStyle w:val="2"/>
        <w:keepNext w:val="0"/>
        <w:keepLines w:val="0"/>
        <w:widowControl w:val="0"/>
        <w:tabs>
          <w:tab w:val="left" w:pos="720"/>
          <w:tab w:val="left" w:pos="1620"/>
          <w:tab w:val="left" w:pos="2340"/>
        </w:tabs>
        <w:spacing w:before="240" w:after="120"/>
        <w:ind w:left="178" w:firstLine="0"/>
        <w:rPr>
          <w:rFonts w:hint="eastAsia" w:ascii="宋体" w:hAnsi="宋体" w:eastAsia="宋体" w:cs="宋体"/>
        </w:rPr>
      </w:pPr>
      <w:bookmarkStart w:id="617" w:name="_Toc35656485"/>
      <w:bookmarkStart w:id="618" w:name="_Toc5870"/>
      <w:bookmarkStart w:id="619" w:name="_Toc34909056"/>
      <w:bookmarkStart w:id="620" w:name="_Toc302635794"/>
      <w:bookmarkStart w:id="621" w:name="_Toc67418576"/>
      <w:bookmarkStart w:id="622" w:name="_Toc305331314"/>
      <w:bookmarkStart w:id="623" w:name="_Toc35656987"/>
      <w:r>
        <w:rPr>
          <w:rFonts w:hint="eastAsia" w:ascii="宋体" w:cs="宋体"/>
          <w:lang w:val="en-US" w:eastAsia="zh-CN"/>
        </w:rPr>
        <w:t xml:space="preserve">15 </w:t>
      </w:r>
      <w:r>
        <w:rPr>
          <w:rFonts w:hint="eastAsia" w:ascii="宋体" w:hAnsi="宋体" w:eastAsia="宋体" w:cs="宋体"/>
        </w:rPr>
        <w:t>工程质量和检测</w:t>
      </w:r>
      <w:bookmarkEnd w:id="617"/>
      <w:bookmarkEnd w:id="618"/>
      <w:bookmarkEnd w:id="619"/>
      <w:bookmarkEnd w:id="620"/>
      <w:bookmarkEnd w:id="621"/>
      <w:bookmarkEnd w:id="622"/>
      <w:bookmarkEnd w:id="623"/>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624" w:name="_Toc67418577"/>
      <w:bookmarkStart w:id="625" w:name="_Toc23997"/>
      <w:bookmarkStart w:id="626" w:name="_Toc302635795"/>
      <w:bookmarkStart w:id="627" w:name="_Toc305331315"/>
      <w:bookmarkStart w:id="628" w:name="_Toc34909057"/>
      <w:r>
        <w:rPr>
          <w:rFonts w:hint="eastAsia" w:ascii="宋体" w:hAnsi="宋体" w:cs="宋体"/>
          <w:sz w:val="24"/>
          <w:szCs w:val="24"/>
          <w:lang w:val="en-US" w:eastAsia="zh-CN"/>
        </w:rPr>
        <w:t xml:space="preserve">15.1 </w:t>
      </w:r>
      <w:r>
        <w:rPr>
          <w:rFonts w:hint="eastAsia" w:ascii="宋体" w:hAnsi="宋体" w:eastAsia="宋体" w:cs="宋体"/>
          <w:sz w:val="24"/>
          <w:szCs w:val="24"/>
        </w:rPr>
        <w:t>工程质量</w:t>
      </w:r>
      <w:bookmarkEnd w:id="624"/>
      <w:bookmarkEnd w:id="625"/>
      <w:bookmarkEnd w:id="626"/>
      <w:bookmarkEnd w:id="627"/>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⑴工程质量应达到本合同协议书中约定的质量标准，工程质量标准的评定应以本合同约定的标准、规范为依据</w:t>
      </w:r>
      <w:bookmarkEnd w:id="628"/>
      <w:r>
        <w:rPr>
          <w:rFonts w:hint="eastAsia" w:ascii="宋体" w:hAnsi="宋体" w:eastAsia="宋体" w:cs="宋体"/>
          <w:kern w:val="0"/>
        </w:rPr>
        <w:t>，</w:t>
      </w:r>
      <w:r>
        <w:rPr>
          <w:rFonts w:hint="eastAsia" w:ascii="宋体" w:hAnsi="宋体" w:eastAsia="宋体" w:cs="宋体"/>
          <w:caps/>
          <w:szCs w:val="21"/>
        </w:rPr>
        <w:t>合同没有约定的，以国家或行业的质量检验评定标准为依据。</w:t>
      </w:r>
    </w:p>
    <w:p>
      <w:pPr>
        <w:tabs>
          <w:tab w:val="left" w:pos="1620"/>
          <w:tab w:val="left" w:pos="2340"/>
        </w:tabs>
        <w:spacing w:after="156"/>
        <w:ind w:left="899"/>
        <w:jc w:val="left"/>
        <w:rPr>
          <w:rFonts w:hint="eastAsia" w:ascii="宋体" w:hAnsi="宋体" w:eastAsia="宋体" w:cs="宋体"/>
          <w:kern w:val="0"/>
        </w:rPr>
      </w:pPr>
      <w:bookmarkStart w:id="629" w:name="_Toc34909058"/>
      <w:r>
        <w:rPr>
          <w:rFonts w:hint="eastAsia" w:ascii="宋体" w:hAnsi="宋体" w:eastAsia="宋体" w:cs="宋体"/>
          <w:kern w:val="0"/>
        </w:rPr>
        <w:t>⑵承包人应建立质量保证体系，监理人有权对体系的任何方面进行审查。遵守质量保证体系不应解除合同约定的承包人的任何义务和职责。</w:t>
      </w:r>
      <w:bookmarkEnd w:id="629"/>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⑶因发包人原因造成工程质量未达到合同约定标准的，由发包人承担由此增加的费用和（或）延误的工期。</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⑷因承包人原因造成工程质量未达到合同约定标准的，发包人有权要求承包人返工直至工程质量达到合同约定的标准为止，并由承包人承担由此增加的费用和（或）延误的工期。</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630" w:name="_Toc302635796"/>
      <w:bookmarkStart w:id="631" w:name="_Toc15806"/>
      <w:bookmarkStart w:id="632" w:name="_Toc67418578"/>
      <w:bookmarkStart w:id="633" w:name="_Toc305331316"/>
      <w:bookmarkStart w:id="634" w:name="_Toc34909059"/>
      <w:r>
        <w:rPr>
          <w:rFonts w:hint="eastAsia" w:ascii="宋体" w:hAnsi="宋体" w:cs="宋体"/>
          <w:sz w:val="24"/>
          <w:szCs w:val="24"/>
          <w:lang w:val="en-US" w:eastAsia="zh-CN"/>
        </w:rPr>
        <w:t xml:space="preserve">15.2 </w:t>
      </w:r>
      <w:r>
        <w:rPr>
          <w:rFonts w:hint="eastAsia" w:ascii="宋体" w:hAnsi="宋体" w:eastAsia="宋体" w:cs="宋体"/>
          <w:sz w:val="24"/>
          <w:szCs w:val="24"/>
        </w:rPr>
        <w:t>发包人质量控制责任</w:t>
      </w:r>
      <w:bookmarkEnd w:id="630"/>
      <w:bookmarkEnd w:id="631"/>
      <w:bookmarkEnd w:id="632"/>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发包人应按照法律规定及合同约定完成与工程质量有关的各项工作，其职责包括但不限于下列内容：</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⑴向有关的勘察、设计、施工、工程监理等单位提供与建设工程有关的原始资料。原始资料必须真实、准确、齐全。</w:t>
      </w:r>
    </w:p>
    <w:p>
      <w:pPr>
        <w:tabs>
          <w:tab w:val="left" w:pos="1620"/>
          <w:tab w:val="left" w:pos="2340"/>
        </w:tabs>
        <w:ind w:left="899"/>
        <w:jc w:val="left"/>
        <w:rPr>
          <w:rFonts w:hint="eastAsia" w:ascii="宋体" w:hAnsi="宋体" w:eastAsia="宋体" w:cs="宋体"/>
        </w:rPr>
      </w:pPr>
      <w:r>
        <w:rPr>
          <w:rFonts w:hint="eastAsia" w:ascii="宋体" w:hAnsi="宋体" w:eastAsia="宋体" w:cs="宋体"/>
          <w:kern w:val="0"/>
        </w:rPr>
        <w:t>⑵不得迫使承包方以低于成本的价格竞标，不得任意压缩合理工期。</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⑶将施工图设计文件报建设行政主管部门或者其他有关部门审查。施工图设计文件未经审查批准的，不得使用。</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⑷按照合同约定，由发包人采购材料、设备的，应保证其符合设计文件和合同要求。</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⑸收到建设工程竣工报告后，组织设计、施工、工程监理等有关单位进行竣工验收。经验收合格的，方可交付使用。</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⑹应严格按照国家有关档案管理的规定，及时收集、整理建设项目各环节的文件资料，建立、健全建设项目档案，并在建设工程竣工验收后，及时向建设行政主管部门或者其他有关部门移交建设项目档案。</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635" w:name="_Toc302635797"/>
      <w:bookmarkStart w:id="636" w:name="_Toc27811"/>
      <w:bookmarkStart w:id="637" w:name="_Toc67418579"/>
      <w:r>
        <w:rPr>
          <w:rFonts w:hint="eastAsia" w:ascii="宋体" w:hAnsi="宋体" w:cs="宋体"/>
          <w:sz w:val="24"/>
          <w:szCs w:val="24"/>
          <w:lang w:val="en-US" w:eastAsia="zh-CN"/>
        </w:rPr>
        <w:t xml:space="preserve">15.3 </w:t>
      </w:r>
      <w:r>
        <w:rPr>
          <w:rFonts w:hint="eastAsia" w:ascii="宋体" w:hAnsi="宋体" w:eastAsia="宋体" w:cs="宋体"/>
          <w:sz w:val="24"/>
          <w:szCs w:val="24"/>
        </w:rPr>
        <w:t>承包人质量控制责任</w:t>
      </w:r>
      <w:bookmarkEnd w:id="633"/>
      <w:bookmarkEnd w:id="635"/>
      <w:bookmarkEnd w:id="636"/>
      <w:bookmarkEnd w:id="637"/>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承包人就本工程的工程质量向发包人负责，其职责包括但不限于下列内容：</w:t>
      </w:r>
      <w:bookmarkEnd w:id="634"/>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⑴编制和审查施工技术方案，确定特殊工程的施工技术措施，制定工程质量保证体系；</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⑵提供和组织足够的工程质量控制和检测人员，检查和控制工程施工质量；</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⑶控制施工所用的材料、设备，包括承包人、分包人采购的材料、设备，使其不低于标准、规范、设计文件和合同约定的标准；</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⑷参加所有工程的验收工作，包括隐蔽验收、中间验收和竣工验收，并组织分包人参加工程竣工验收；</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⑸按照有关信息化管理的要求，在深圳市质量安全监管职能平台及时上传、报送有关质量检查、监测和整改情况；</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⑹负责组织分包人共同承担缺陷责任期的工程保修责任。</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638" w:name="_Toc302635798"/>
      <w:bookmarkStart w:id="639" w:name="_Toc67418580"/>
      <w:bookmarkStart w:id="640" w:name="_Toc28331"/>
      <w:r>
        <w:rPr>
          <w:rFonts w:hint="eastAsia" w:ascii="宋体" w:hAnsi="宋体" w:cs="宋体"/>
          <w:sz w:val="24"/>
          <w:szCs w:val="24"/>
          <w:lang w:val="en-US" w:eastAsia="zh-CN"/>
        </w:rPr>
        <w:t xml:space="preserve">15.4 </w:t>
      </w:r>
      <w:r>
        <w:rPr>
          <w:rFonts w:hint="eastAsia" w:ascii="宋体" w:hAnsi="宋体" w:eastAsia="宋体" w:cs="宋体"/>
          <w:sz w:val="24"/>
          <w:szCs w:val="24"/>
        </w:rPr>
        <w:t>监理人质量控制责任</w:t>
      </w:r>
      <w:bookmarkEnd w:id="638"/>
      <w:bookmarkEnd w:id="639"/>
      <w:bookmarkEnd w:id="640"/>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监理人应按照法律规定及合同约定完成与工程质量有关的各项工作，其职责包括但不限于下列内容：</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⑴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⑵监理人的检查和检验影响施工正常进行的，且经检查检验不合格的，影响正常施工的费用由承包人承担，工期不予顺延；经检查检验合格的，由此增加的费用和（或）延误的工期由发包人承担。</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641" w:name="_Toc302635800"/>
      <w:bookmarkStart w:id="642" w:name="_Toc305331318"/>
      <w:bookmarkStart w:id="643" w:name="_Toc2587"/>
      <w:bookmarkStart w:id="644" w:name="_Toc67418581"/>
      <w:bookmarkStart w:id="645" w:name="_Toc34909061"/>
      <w:r>
        <w:rPr>
          <w:rFonts w:hint="eastAsia" w:ascii="宋体" w:hAnsi="宋体" w:cs="宋体"/>
          <w:sz w:val="24"/>
          <w:szCs w:val="24"/>
          <w:lang w:val="en-US" w:eastAsia="zh-CN"/>
        </w:rPr>
        <w:t xml:space="preserve">15.5 </w:t>
      </w:r>
      <w:r>
        <w:rPr>
          <w:rFonts w:hint="eastAsia" w:ascii="宋体" w:hAnsi="宋体" w:eastAsia="宋体" w:cs="宋体"/>
          <w:sz w:val="24"/>
          <w:szCs w:val="24"/>
        </w:rPr>
        <w:t>工程隐蔽前的检测</w:t>
      </w:r>
      <w:bookmarkEnd w:id="641"/>
      <w:bookmarkEnd w:id="642"/>
      <w:bookmarkEnd w:id="643"/>
      <w:bookmarkEnd w:id="644"/>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⑴承包人应当对工程隐蔽部位进行自检，并经自检确认是否具备覆盖条件。</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没有监理人的批准，任何工程均不得隐蔽。当本工程任何部分具备隐蔽条件时，承包人应提前24小时通知监理人，告知检测的时间、内容和地点，保证监理人有充分的时间对隐蔽工程进行检测，并为监理人提供一切必要的资料和协助。监理人应按时参加隐蔽工程的检测，不得无故拖延，除非认为没有必要检测，并就此通知承包人。监理人在组织隐蔽工程验收时，应通知发包人及政府有关部门派人参加。</w:t>
      </w:r>
      <w:bookmarkEnd w:id="645"/>
    </w:p>
    <w:p>
      <w:pPr>
        <w:tabs>
          <w:tab w:val="left" w:pos="1620"/>
          <w:tab w:val="left" w:pos="2340"/>
        </w:tabs>
        <w:spacing w:after="156"/>
        <w:ind w:left="899"/>
        <w:jc w:val="left"/>
        <w:rPr>
          <w:rFonts w:hint="eastAsia" w:ascii="宋体" w:hAnsi="宋体" w:eastAsia="宋体" w:cs="宋体"/>
          <w:kern w:val="0"/>
        </w:rPr>
      </w:pPr>
      <w:bookmarkStart w:id="646" w:name="_Toc34909062"/>
      <w:r>
        <w:rPr>
          <w:rFonts w:hint="eastAsia" w:ascii="宋体" w:hAnsi="宋体" w:eastAsia="宋体" w:cs="宋体"/>
          <w:kern w:val="0"/>
        </w:rPr>
        <w:t>⑶无论监理人是否进行验收，当其要求对已经隐蔽的工程重新检测时，承包人应按要求进行剥离或开孔，并在检测后重新隐蔽。如检测合格，则发包人承担因此发生的全部增加费用，赔偿承包人损失和(或)相应顺延工期；如检测不合格，则承包人应按监理人的指令重新施工，直到检测合格，并承担由此发生的全部费用，工期不予顺延。</w:t>
      </w:r>
      <w:bookmarkEnd w:id="646"/>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⑷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647" w:name="_Toc305331319"/>
      <w:bookmarkStart w:id="648" w:name="_Toc10785"/>
      <w:bookmarkStart w:id="649" w:name="_Toc67418582"/>
      <w:bookmarkStart w:id="650" w:name="_Toc302635801"/>
      <w:r>
        <w:rPr>
          <w:rFonts w:hint="eastAsia" w:ascii="宋体" w:hAnsi="宋体" w:cs="宋体"/>
          <w:sz w:val="24"/>
          <w:szCs w:val="24"/>
          <w:lang w:val="en-US" w:eastAsia="zh-CN"/>
        </w:rPr>
        <w:t xml:space="preserve">15.6 </w:t>
      </w:r>
      <w:r>
        <w:rPr>
          <w:rFonts w:hint="eastAsia" w:ascii="宋体" w:hAnsi="宋体" w:eastAsia="宋体" w:cs="宋体"/>
          <w:sz w:val="24"/>
          <w:szCs w:val="24"/>
        </w:rPr>
        <w:t>防水检测</w:t>
      </w:r>
      <w:bookmarkEnd w:id="647"/>
      <w:bookmarkEnd w:id="648"/>
      <w:bookmarkEnd w:id="649"/>
      <w:bookmarkEnd w:id="650"/>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本工程有防水要求的部位，在下道工序施工进行前，需按要求进行闭水试验，费用已含在相应分部分项工程的综合单价中，由承包人承担。未发现渗漏水的才可进行下道工序施工，如发现渗漏水，承包人应限期自费进行整改直到符合防水要求，由此延误的工期不予顺延。</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651" w:name="_Toc11839"/>
      <w:bookmarkStart w:id="652" w:name="_Toc302635804"/>
      <w:bookmarkStart w:id="653" w:name="_Toc305331321"/>
      <w:bookmarkStart w:id="654" w:name="_Toc67418583"/>
      <w:r>
        <w:rPr>
          <w:rFonts w:hint="eastAsia" w:ascii="宋体" w:hAnsi="宋体" w:cs="宋体"/>
          <w:sz w:val="24"/>
          <w:szCs w:val="24"/>
          <w:lang w:val="en-US" w:eastAsia="zh-CN"/>
        </w:rPr>
        <w:t xml:space="preserve">15.7 </w:t>
      </w:r>
      <w:r>
        <w:rPr>
          <w:rFonts w:hint="eastAsia" w:ascii="宋体" w:hAnsi="宋体" w:eastAsia="宋体" w:cs="宋体"/>
          <w:sz w:val="24"/>
          <w:szCs w:val="24"/>
        </w:rPr>
        <w:t>工程质量检测费用</w:t>
      </w:r>
      <w:bookmarkEnd w:id="651"/>
      <w:bookmarkEnd w:id="652"/>
      <w:bookmarkEnd w:id="653"/>
      <w:bookmarkEnd w:id="654"/>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工程质量检验检测项目在</w:t>
      </w:r>
      <w:r>
        <w:rPr>
          <w:rFonts w:hint="eastAsia" w:ascii="宋体" w:hAnsi="宋体" w:eastAsia="宋体" w:cs="宋体"/>
          <w:b/>
          <w:i/>
          <w:kern w:val="0"/>
        </w:rPr>
        <w:t>专用条款</w:t>
      </w:r>
      <w:r>
        <w:rPr>
          <w:rFonts w:hint="eastAsia" w:ascii="宋体" w:hAnsi="宋体" w:eastAsia="宋体" w:cs="宋体"/>
          <w:kern w:val="0"/>
        </w:rPr>
        <w:t>中约定，检测费用由发包人承担。因承包人原因导致检测结果不合格的，承包人承担本次检测的所有检测费用，并无偿返工、负责修复。</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655" w:name="_Toc962"/>
      <w:bookmarkStart w:id="656" w:name="_Toc67418584"/>
      <w:bookmarkStart w:id="657" w:name="_Toc302635805"/>
      <w:r>
        <w:rPr>
          <w:rFonts w:hint="eastAsia" w:ascii="宋体" w:hAnsi="宋体" w:cs="宋体"/>
          <w:sz w:val="24"/>
          <w:szCs w:val="24"/>
          <w:lang w:val="en-US" w:eastAsia="zh-CN"/>
        </w:rPr>
        <w:t xml:space="preserve">15.8 </w:t>
      </w:r>
      <w:r>
        <w:rPr>
          <w:rFonts w:hint="eastAsia" w:ascii="宋体" w:hAnsi="宋体" w:eastAsia="宋体" w:cs="宋体"/>
          <w:sz w:val="24"/>
          <w:szCs w:val="24"/>
        </w:rPr>
        <w:t>质量争议检测</w:t>
      </w:r>
      <w:bookmarkEnd w:id="655"/>
      <w:bookmarkEnd w:id="656"/>
      <w:bookmarkEnd w:id="657"/>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承发包双方对工程质量有争议的，由双方协商确定的工程质量检测机构鉴定，由此产生的费用及因此造成的损失，由责任方承担。承发包双方均有责任的，由双方根据其责任分别承担。</w:t>
      </w:r>
    </w:p>
    <w:p>
      <w:pPr>
        <w:pStyle w:val="2"/>
        <w:keepNext w:val="0"/>
        <w:keepLines w:val="0"/>
        <w:widowControl w:val="0"/>
        <w:tabs>
          <w:tab w:val="left" w:pos="720"/>
          <w:tab w:val="left" w:pos="1620"/>
          <w:tab w:val="left" w:pos="2340"/>
        </w:tabs>
        <w:spacing w:before="240" w:after="120"/>
        <w:ind w:left="178" w:firstLine="0"/>
        <w:rPr>
          <w:rFonts w:hint="eastAsia" w:ascii="宋体" w:hAnsi="宋体" w:eastAsia="宋体" w:cs="宋体"/>
        </w:rPr>
      </w:pPr>
      <w:bookmarkStart w:id="658" w:name="_Toc29265"/>
      <w:bookmarkStart w:id="659" w:name="_Toc67418585"/>
      <w:bookmarkStart w:id="660" w:name="_Toc305331322"/>
      <w:bookmarkStart w:id="661" w:name="_Toc302635806"/>
      <w:r>
        <w:rPr>
          <w:rFonts w:hint="eastAsia" w:ascii="宋体" w:cs="宋体"/>
          <w:lang w:val="en-US" w:eastAsia="zh-CN"/>
        </w:rPr>
        <w:t xml:space="preserve">16 </w:t>
      </w:r>
      <w:r>
        <w:rPr>
          <w:rFonts w:hint="eastAsia" w:ascii="宋体" w:hAnsi="宋体" w:eastAsia="宋体" w:cs="宋体"/>
        </w:rPr>
        <w:t>工程试运行</w:t>
      </w:r>
      <w:bookmarkEnd w:id="658"/>
      <w:bookmarkEnd w:id="659"/>
      <w:bookmarkEnd w:id="660"/>
      <w:bookmarkEnd w:id="661"/>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662" w:name="_Toc305331323"/>
      <w:bookmarkStart w:id="663" w:name="_Toc302635807"/>
      <w:bookmarkStart w:id="664" w:name="_Toc67418586"/>
      <w:bookmarkStart w:id="665" w:name="_Toc23374"/>
      <w:r>
        <w:rPr>
          <w:rFonts w:hint="eastAsia" w:ascii="宋体" w:hAnsi="宋体" w:cs="宋体"/>
          <w:sz w:val="24"/>
          <w:szCs w:val="24"/>
          <w:lang w:val="en-US" w:eastAsia="zh-CN"/>
        </w:rPr>
        <w:t xml:space="preserve">16.1 </w:t>
      </w:r>
      <w:r>
        <w:rPr>
          <w:rFonts w:hint="eastAsia" w:ascii="宋体" w:hAnsi="宋体" w:eastAsia="宋体" w:cs="宋体"/>
          <w:sz w:val="24"/>
          <w:szCs w:val="24"/>
        </w:rPr>
        <w:t>工程试运行内容和程序</w:t>
      </w:r>
      <w:bookmarkEnd w:id="662"/>
      <w:bookmarkEnd w:id="663"/>
      <w:bookmarkEnd w:id="664"/>
      <w:bookmarkEnd w:id="665"/>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如发包人和承包人约定本工程需要试运行的，双方在</w:t>
      </w:r>
      <w:r>
        <w:rPr>
          <w:rFonts w:hint="eastAsia" w:ascii="宋体" w:hAnsi="宋体" w:eastAsia="宋体" w:cs="宋体"/>
          <w:b/>
          <w:i/>
          <w:kern w:val="0"/>
        </w:rPr>
        <w:t>专用条款</w:t>
      </w:r>
      <w:r>
        <w:rPr>
          <w:rFonts w:hint="eastAsia" w:ascii="宋体" w:hAnsi="宋体" w:eastAsia="宋体" w:cs="宋体"/>
          <w:kern w:val="0"/>
        </w:rPr>
        <w:t>中约定试运行的内容和费用承担。本工程试运行应按如下程序进行：</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⑴设备安装工程具备单机无负荷试运行条件，承包人组织试运行，并在试运行前48小时通知监理人，告知试运行的时间、内容和地点。承包人准备试运行记录，发包人应为试运行提供必要条件。监理人应按时参加试运行，试运行合格，监理人在试运行记录上签字。如在上述约定时间后12小时内，监理人未能到场参加试运行，承包人可自行试运行，事后监理人应认可承包人所作的试运行记录。</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⑵设备安装工程具备无负荷联动试运行条件，发包人组织试运行，并在试运行前48小时通知承包人，告知试运行的时间、内容、地点和对承包人的要求，承包人按要求做好准备工作。试运行合格，双方在试运行记录上签字。</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⑶投料试运行应在工程竣工验收后由发包人负责，如发包人要求在工程竣工验收前进行或需要承包人配合时，应征得承包人同意，并另行签订补充协议。</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666" w:name="_Toc302635808"/>
      <w:bookmarkStart w:id="667" w:name="_Toc67418587"/>
      <w:bookmarkStart w:id="668" w:name="_Toc15501"/>
      <w:bookmarkStart w:id="669" w:name="_Toc305331324"/>
      <w:r>
        <w:rPr>
          <w:rFonts w:hint="eastAsia" w:ascii="宋体" w:hAnsi="宋体" w:cs="宋体"/>
          <w:sz w:val="24"/>
          <w:szCs w:val="24"/>
          <w:lang w:val="en-US" w:eastAsia="zh-CN"/>
        </w:rPr>
        <w:t xml:space="preserve">16.2 </w:t>
      </w:r>
      <w:r>
        <w:rPr>
          <w:rFonts w:hint="eastAsia" w:ascii="宋体" w:hAnsi="宋体" w:eastAsia="宋体" w:cs="宋体"/>
          <w:sz w:val="24"/>
          <w:szCs w:val="24"/>
        </w:rPr>
        <w:t>工程试运行中双方的责任</w:t>
      </w:r>
      <w:bookmarkEnd w:id="666"/>
      <w:bookmarkEnd w:id="667"/>
      <w:bookmarkEnd w:id="668"/>
      <w:bookmarkEnd w:id="669"/>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⑴由于设计原因试运行达不到验收要求，发包人应要求设计人修改设计，承包人按修改后的设计重新安装。发包人承担修改、拆除及重新安装的费用，工期相应顺延。</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由于设备制造原因试运行达不到验收要求，如该设备由承包人采购的，则承包人负责修理或重新购置、拆除和重新安装并承担有关费用，工期不予顺延；如该设备由发包人采购的，则发包人负责修理或重新购置，并由承包人进行拆除和重新安装，发包人承担有关费用，工期相应顺延。</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⑶由于承包人施工原因试运行达不到验收要求，承包人应按监理人要求重新安装和试运行，并承担有关费用，工期不予顺延。</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⑷监理人在试运行合格后不在试运行记录上签字，试运行结束24小时后，视为监理人已认可试运行记录，承包人可继续施工或办理竣工手续。</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⑸试运行费用除已包括在签约合同价之内的或专用条款另有约定的，均由发包人承担。</w:t>
      </w:r>
    </w:p>
    <w:p>
      <w:pPr>
        <w:pStyle w:val="2"/>
        <w:keepNext w:val="0"/>
        <w:keepLines w:val="0"/>
        <w:widowControl w:val="0"/>
        <w:tabs>
          <w:tab w:val="left" w:pos="720"/>
          <w:tab w:val="left" w:pos="1620"/>
          <w:tab w:val="left" w:pos="2340"/>
        </w:tabs>
        <w:spacing w:before="240" w:after="120"/>
        <w:ind w:left="178" w:firstLine="0"/>
        <w:rPr>
          <w:rFonts w:hint="eastAsia" w:ascii="宋体" w:hAnsi="宋体" w:eastAsia="宋体" w:cs="宋体"/>
        </w:rPr>
      </w:pPr>
      <w:bookmarkStart w:id="670" w:name="_Toc305331325"/>
      <w:bookmarkStart w:id="671" w:name="_Toc35656988"/>
      <w:bookmarkStart w:id="672" w:name="_Toc35656486"/>
      <w:bookmarkStart w:id="673" w:name="_Toc34909063"/>
      <w:bookmarkStart w:id="674" w:name="_Toc67418588"/>
      <w:bookmarkStart w:id="675" w:name="_Toc21920"/>
      <w:bookmarkStart w:id="676" w:name="_Toc302635809"/>
      <w:r>
        <w:rPr>
          <w:rFonts w:hint="eastAsia" w:ascii="宋体" w:cs="宋体"/>
          <w:lang w:val="en-US" w:eastAsia="zh-CN"/>
        </w:rPr>
        <w:t xml:space="preserve">17 </w:t>
      </w:r>
      <w:r>
        <w:rPr>
          <w:rFonts w:hint="eastAsia" w:ascii="宋体" w:hAnsi="宋体" w:eastAsia="宋体" w:cs="宋体"/>
        </w:rPr>
        <w:t>安全文明施工</w:t>
      </w:r>
      <w:bookmarkEnd w:id="670"/>
      <w:bookmarkEnd w:id="671"/>
      <w:bookmarkEnd w:id="672"/>
      <w:bookmarkEnd w:id="673"/>
      <w:r>
        <w:rPr>
          <w:rFonts w:hint="eastAsia" w:ascii="宋体" w:hAnsi="宋体" w:eastAsia="宋体" w:cs="宋体"/>
        </w:rPr>
        <w:t>与环境保护</w:t>
      </w:r>
      <w:bookmarkEnd w:id="674"/>
      <w:bookmarkEnd w:id="675"/>
      <w:bookmarkEnd w:id="676"/>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677" w:name="_Toc24489"/>
      <w:bookmarkStart w:id="678" w:name="_Toc305331326"/>
      <w:bookmarkStart w:id="679" w:name="_Toc302635810"/>
      <w:bookmarkStart w:id="680" w:name="_Toc67418589"/>
      <w:bookmarkStart w:id="681" w:name="_Toc34909065"/>
      <w:bookmarkStart w:id="682" w:name="_Toc34909064"/>
      <w:r>
        <w:rPr>
          <w:rFonts w:hint="eastAsia" w:ascii="宋体" w:hAnsi="宋体" w:cs="宋体"/>
          <w:sz w:val="24"/>
          <w:szCs w:val="24"/>
          <w:lang w:val="en-US" w:eastAsia="zh-CN"/>
        </w:rPr>
        <w:t xml:space="preserve">17.1 </w:t>
      </w:r>
      <w:r>
        <w:rPr>
          <w:rFonts w:hint="eastAsia" w:ascii="宋体" w:hAnsi="宋体" w:eastAsia="宋体" w:cs="宋体"/>
          <w:sz w:val="24"/>
          <w:szCs w:val="24"/>
        </w:rPr>
        <w:t>发包人的安全文明施工责任</w:t>
      </w:r>
      <w:bookmarkEnd w:id="677"/>
      <w:bookmarkEnd w:id="678"/>
      <w:bookmarkEnd w:id="679"/>
      <w:bookmarkEnd w:id="680"/>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⑴发包人应按照深圳市建设行政主管部门发布的施工安全文明施工措施费清单管理与支付办法，编制安全文明施工措施费清单并向承包人按时足额支付安全文明措施费。</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⑵发包人应督促承包人落实安全文明施工标准化管理的相关措施和要求，对安全文明施工措施费的专款专用进行核查。</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⑶发包人应对其在施工现场的工作人员进行安全教育，并对他们的安全负责。</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⑷发包人不得要求承包人违反安全文明施工的规定进行施工。</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⑸由于发包人原因造成的安全事故，由发包人承担相应责任及发生的费用</w:t>
      </w:r>
      <w:bookmarkEnd w:id="681"/>
      <w:r>
        <w:rPr>
          <w:rFonts w:hint="eastAsia" w:ascii="宋体" w:hAnsi="宋体" w:eastAsia="宋体" w:cs="宋体"/>
          <w:kern w:val="0"/>
        </w:rPr>
        <w:t>，并顺延延误的工期。</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⑹</w:t>
      </w:r>
      <w:r>
        <w:rPr>
          <w:rFonts w:hint="eastAsia" w:ascii="宋体" w:hAnsi="宋体" w:eastAsia="宋体" w:cs="宋体"/>
          <w:b/>
          <w:i/>
          <w:kern w:val="0"/>
        </w:rPr>
        <w:t>专用条款</w:t>
      </w:r>
      <w:r>
        <w:rPr>
          <w:rFonts w:hint="eastAsia" w:ascii="宋体" w:hAnsi="宋体" w:eastAsia="宋体" w:cs="宋体"/>
          <w:kern w:val="0"/>
        </w:rPr>
        <w:t>约定的安全文明施工责任。</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683" w:name="_Toc67418590"/>
      <w:bookmarkStart w:id="684" w:name="_Toc305331327"/>
      <w:bookmarkStart w:id="685" w:name="_Toc302635811"/>
      <w:bookmarkStart w:id="686" w:name="_Toc24246"/>
      <w:r>
        <w:rPr>
          <w:rFonts w:hint="eastAsia" w:ascii="宋体" w:hAnsi="宋体" w:cs="宋体"/>
          <w:sz w:val="24"/>
          <w:szCs w:val="24"/>
          <w:lang w:val="en-US" w:eastAsia="zh-CN"/>
        </w:rPr>
        <w:t xml:space="preserve">17.2 </w:t>
      </w:r>
      <w:r>
        <w:rPr>
          <w:rFonts w:hint="eastAsia" w:ascii="宋体" w:hAnsi="宋体" w:eastAsia="宋体" w:cs="宋体"/>
          <w:sz w:val="24"/>
          <w:szCs w:val="24"/>
        </w:rPr>
        <w:t>承包人的安全文明施工责任</w:t>
      </w:r>
      <w:bookmarkEnd w:id="683"/>
      <w:bookmarkEnd w:id="684"/>
      <w:bookmarkEnd w:id="685"/>
      <w:bookmarkEnd w:id="686"/>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承包人应按照《深圳市建设工程安全文明施工标准》等行业现行的规范、标准，以及发包人提供的安全文明施工措施费清单，编制安全施工专项方案及文明施工专项方案，落实安全防护用品和设施配备、施工风险源管控、安全教育培训、应急管理等方面的安全生产标准化以及文明形象、环境保护、现场卫生、职业健康、信息化管理等方面的文明施工标准化。安全施工专项方案及文明施工专项方案应以书面形式提交给监理人。对监理人要求需采取特殊安全防护措施的分项工程施工前，应编制专项安全施工组织设计，并采取安全技术措施；报请监理人和发包人批准后，方可施工。</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承包人应按照安全施工专项方案及文明施工专项方案组织施工，采取必要的安全防护措施，消除事故隐患，并随时接受行业安全检查人员依法实施的监督检查。承包人安全生产管理机构和专职安全生产管理人员负责对施工企业现场安全文明措施的组织实施进行现场监督检查，并及时向监理人、发包人和建设行政主管部门反映情况。</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w:t>
      </w:r>
      <w:r>
        <w:rPr>
          <w:rFonts w:hint="eastAsia" w:ascii="宋体" w:hAnsi="宋体" w:eastAsia="宋体" w:cs="宋体"/>
        </w:rPr>
        <w:t>承包人施工现场应配置必要的安全、文明施工设施与保护器材，设立安全警告标志牌，并为施工现场人员(包括发包人代表、监理人人员)提供必要的安全防护和劳动保护用品</w:t>
      </w:r>
      <w:r>
        <w:rPr>
          <w:rFonts w:hint="eastAsia" w:ascii="宋体" w:hAnsi="宋体" w:eastAsia="宋体" w:cs="宋体"/>
          <w:b/>
          <w:bCs/>
        </w:rPr>
        <w:t>。</w:t>
      </w:r>
      <w:r>
        <w:rPr>
          <w:rFonts w:hint="eastAsia" w:ascii="宋体" w:hAnsi="宋体" w:eastAsia="宋体" w:cs="宋体"/>
        </w:rPr>
        <w:t>施工作业人员未经安全生产教育培训，不得上岗作业。承包人有责任管制无关人员进入施工现场。</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⑷承包人与分包人应当在分包合同中明确施工现场安全文明措施费由承包人统一管理，并对其使用负责。施工现场安全文明措施由分包人实施的，由分包人提出专项安全文明措施和方案，经承包人批准后及时支付所需费用。</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⑸</w:t>
      </w:r>
      <w:bookmarkEnd w:id="682"/>
      <w:r>
        <w:rPr>
          <w:rFonts w:hint="eastAsia" w:ascii="宋体" w:hAnsi="宋体" w:eastAsia="宋体" w:cs="宋体"/>
          <w:kern w:val="0"/>
        </w:rPr>
        <w:t>发生重大伤亡及其他安全事故，承包人应通知监理人并按相关规定立即上报政府有关部门，同时按政府有关部门要求处理。发包人和承包人对事故责任有争议时，由政府有关部门认定。由于承包人原因造成的安全事故，由承包人承担相应责任及发生的费用，工期不予顺延。</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⑹承包人有责任维护发包人的社会形象，避免由于施工引起安全、文明施工和环境保护(如噪音、粉尘、排污等)问题而造成对发包人的索赔。由于上述问题造成的索赔由承包人承担全部责任。</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⑺在施工过程中，如遇到突发的地质变动、事先未知的地下施工障碍等影响施工安全的紧急情况，承包人应及时报告监理人和发包人，按相关部门要求采取应急措施。</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⑻承包人应按照有关信息化管理的要求，在深圳市质量安全监管职能平台及时上传、报送有关安全隐患检查和安全隐患整改情况。</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⑼</w:t>
      </w:r>
      <w:r>
        <w:rPr>
          <w:rFonts w:hint="eastAsia" w:ascii="宋体" w:hAnsi="宋体" w:eastAsia="宋体" w:cs="宋体"/>
          <w:b/>
          <w:i/>
          <w:kern w:val="0"/>
        </w:rPr>
        <w:t>专用条款</w:t>
      </w:r>
      <w:r>
        <w:rPr>
          <w:rFonts w:hint="eastAsia" w:ascii="宋体" w:hAnsi="宋体" w:eastAsia="宋体" w:cs="宋体"/>
          <w:kern w:val="0"/>
        </w:rPr>
        <w:t>约定的安全文明施工责任。</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687" w:name="_Toc29509"/>
      <w:bookmarkStart w:id="688" w:name="_Toc305331328"/>
      <w:bookmarkStart w:id="689" w:name="_Toc67418591"/>
      <w:bookmarkStart w:id="690" w:name="_Toc302635812"/>
      <w:bookmarkStart w:id="691" w:name="_Toc34909067"/>
      <w:r>
        <w:rPr>
          <w:rFonts w:hint="eastAsia" w:ascii="宋体" w:hAnsi="宋体" w:cs="宋体"/>
          <w:sz w:val="24"/>
          <w:szCs w:val="24"/>
          <w:lang w:val="en-US" w:eastAsia="zh-CN"/>
        </w:rPr>
        <w:t xml:space="preserve">17.3 </w:t>
      </w:r>
      <w:r>
        <w:rPr>
          <w:rFonts w:hint="eastAsia" w:ascii="宋体" w:hAnsi="宋体" w:eastAsia="宋体" w:cs="宋体"/>
          <w:sz w:val="24"/>
          <w:szCs w:val="24"/>
        </w:rPr>
        <w:t>监理人对安全文明的监督</w:t>
      </w:r>
      <w:bookmarkEnd w:id="687"/>
      <w:bookmarkEnd w:id="688"/>
      <w:bookmarkEnd w:id="689"/>
      <w:bookmarkEnd w:id="690"/>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监理人应当对承包人落实施工现场安全文明措施情况进行现场监督。对承包人已经落实的安全文明措施，监理人应当及时审查确认。监理人发现承包人未落实施工组织设计及专项施工方案中安全防护和文明施工措施的，有权责令其立即整改，承包人拒不整改或未按期限要求完成整改的，监理人应当及时向发包人和建设行政主管部门报告，必要时责令其暂停施工。</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692" w:name="_Toc1251"/>
      <w:bookmarkStart w:id="693" w:name="_Toc302635813"/>
      <w:bookmarkStart w:id="694" w:name="_Toc305331329"/>
      <w:bookmarkStart w:id="695" w:name="_Toc67418592"/>
      <w:r>
        <w:rPr>
          <w:rFonts w:hint="eastAsia" w:ascii="宋体" w:hAnsi="宋体" w:cs="宋体"/>
          <w:sz w:val="24"/>
          <w:szCs w:val="24"/>
          <w:lang w:val="en-US" w:eastAsia="zh-CN"/>
        </w:rPr>
        <w:t xml:space="preserve">17.4 </w:t>
      </w:r>
      <w:r>
        <w:rPr>
          <w:rFonts w:hint="eastAsia" w:ascii="宋体" w:hAnsi="宋体" w:eastAsia="宋体" w:cs="宋体"/>
          <w:sz w:val="24"/>
          <w:szCs w:val="24"/>
        </w:rPr>
        <w:t>安全文明措施费的专款专用</w:t>
      </w:r>
      <w:bookmarkEnd w:id="692"/>
      <w:bookmarkEnd w:id="693"/>
      <w:bookmarkEnd w:id="694"/>
      <w:bookmarkEnd w:id="695"/>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⑴承包人应确保施工现场安全文明措施费专款专用，在财务管理中单独列出安全文明措施项目费用清单及金额备查，并设立单独的安全文明措施费银行账户，接受发包人的监管。</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⑵承包人应当按照分包合同约定及时向分包人支付施工现场安全文明措施费。承包人不按约定支付费用，造成分包人不能及时落实安全防护措施导致发生事故的，由承包人负主要责任。</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696" w:name="_Toc5331"/>
      <w:bookmarkStart w:id="697" w:name="_Toc305331330"/>
      <w:bookmarkStart w:id="698" w:name="_Toc302635814"/>
      <w:bookmarkStart w:id="699" w:name="_Toc67418593"/>
      <w:r>
        <w:rPr>
          <w:rFonts w:hint="eastAsia" w:ascii="宋体" w:hAnsi="宋体" w:cs="宋体"/>
          <w:sz w:val="24"/>
          <w:szCs w:val="24"/>
          <w:lang w:val="en-US" w:eastAsia="zh-CN"/>
        </w:rPr>
        <w:t xml:space="preserve">17.5 </w:t>
      </w:r>
      <w:r>
        <w:rPr>
          <w:rFonts w:hint="eastAsia" w:ascii="宋体" w:hAnsi="宋体" w:eastAsia="宋体" w:cs="宋体"/>
          <w:sz w:val="24"/>
          <w:szCs w:val="24"/>
        </w:rPr>
        <w:t>承包人的安全防护和现场作业</w:t>
      </w:r>
      <w:bookmarkEnd w:id="696"/>
      <w:bookmarkEnd w:id="697"/>
      <w:bookmarkEnd w:id="698"/>
      <w:bookmarkEnd w:id="699"/>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⑴承包人应按照法律规定进行施工，开工前做好安全技术交底工作，施工过程中做好各项安全防护措施。承包人为实施合同而雇用的特殊工种的人员应受过专门的培训并已取得政府有关管理机构颁发的上岗证书。</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承包人在动力设备、输电线路、地下管道、密封防震车间、易燃易爆地段、临街交通要道附近、放射毒害性环境中施工以及实施爆破作业、使用毒害性腐蚀性物品施工时，施工前应向监理人提出安全防护措施，经监理人认可后实施，由发包人承担相应安全防护措施费用。</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⑶承包人应将其作业限制在现场内。在施工期间，承包人应保持现场没有障碍物，妥善存放和处理材料设备和承包人装备，及时从现场清除并运走任何残物、垃圾和不再需要的临时工程。</w:t>
      </w:r>
      <w:bookmarkEnd w:id="691"/>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⑷承包人应按照本市相关要求和根据工程性质规模，建立现场视频采集系统，开展实时监控。承包人应当按照建筑从业人员实名制管理的相关要求，利用人脸、虹膜等生物活体信息技术，在工地出入口设立实名闸机通道，实行联网运行。</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700" w:name="_Toc16024"/>
      <w:bookmarkStart w:id="701" w:name="_Toc302635815"/>
      <w:bookmarkStart w:id="702" w:name="_Toc67418594"/>
      <w:r>
        <w:rPr>
          <w:rFonts w:hint="eastAsia" w:ascii="宋体" w:hAnsi="宋体" w:cs="宋体"/>
          <w:sz w:val="24"/>
          <w:szCs w:val="24"/>
          <w:lang w:val="en-US" w:eastAsia="zh-CN"/>
        </w:rPr>
        <w:t xml:space="preserve">17.6 </w:t>
      </w:r>
      <w:r>
        <w:rPr>
          <w:rFonts w:hint="eastAsia" w:ascii="宋体" w:hAnsi="宋体" w:eastAsia="宋体" w:cs="宋体"/>
          <w:sz w:val="24"/>
          <w:szCs w:val="24"/>
        </w:rPr>
        <w:t>紧急情况处理</w:t>
      </w:r>
      <w:bookmarkEnd w:id="700"/>
      <w:bookmarkEnd w:id="701"/>
      <w:bookmarkEnd w:id="702"/>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703" w:name="_Toc302635816"/>
      <w:bookmarkStart w:id="704" w:name="_Toc31933"/>
      <w:bookmarkStart w:id="705" w:name="_Toc67418595"/>
      <w:r>
        <w:rPr>
          <w:rFonts w:hint="eastAsia" w:ascii="宋体" w:hAnsi="宋体" w:cs="宋体"/>
          <w:sz w:val="24"/>
          <w:szCs w:val="24"/>
          <w:lang w:val="en-US" w:eastAsia="zh-CN"/>
        </w:rPr>
        <w:t xml:space="preserve">17.7 </w:t>
      </w:r>
      <w:r>
        <w:rPr>
          <w:rFonts w:hint="eastAsia" w:ascii="宋体" w:hAnsi="宋体" w:eastAsia="宋体" w:cs="宋体"/>
          <w:sz w:val="24"/>
          <w:szCs w:val="24"/>
        </w:rPr>
        <w:t>事故处理</w:t>
      </w:r>
      <w:bookmarkEnd w:id="703"/>
      <w:bookmarkEnd w:id="704"/>
      <w:bookmarkEnd w:id="705"/>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706" w:name="_Toc302635817"/>
      <w:bookmarkStart w:id="707" w:name="_Toc30564"/>
      <w:bookmarkStart w:id="708" w:name="_Toc67418596"/>
      <w:bookmarkStart w:id="709" w:name="_Toc305331331"/>
      <w:r>
        <w:rPr>
          <w:rFonts w:hint="eastAsia" w:ascii="宋体" w:hAnsi="宋体" w:cs="宋体"/>
          <w:sz w:val="24"/>
          <w:szCs w:val="24"/>
          <w:lang w:val="en-US" w:eastAsia="zh-CN"/>
        </w:rPr>
        <w:t xml:space="preserve">17.8 </w:t>
      </w:r>
      <w:r>
        <w:rPr>
          <w:rFonts w:hint="eastAsia" w:ascii="宋体" w:hAnsi="宋体" w:eastAsia="宋体" w:cs="宋体"/>
          <w:sz w:val="24"/>
          <w:szCs w:val="24"/>
        </w:rPr>
        <w:t>承包人的环境保护责任</w:t>
      </w:r>
      <w:bookmarkEnd w:id="706"/>
      <w:bookmarkEnd w:id="707"/>
      <w:bookmarkEnd w:id="708"/>
      <w:bookmarkEnd w:id="709"/>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⑴发包人和承包人应按照《深圳市建筑废弃物管理办法》规定，在</w:t>
      </w:r>
      <w:r>
        <w:rPr>
          <w:rFonts w:hint="eastAsia" w:ascii="宋体" w:hAnsi="宋体" w:eastAsia="宋体" w:cs="宋体"/>
          <w:b/>
          <w:i/>
          <w:kern w:val="0"/>
        </w:rPr>
        <w:t>专用条款</w:t>
      </w:r>
      <w:r>
        <w:rPr>
          <w:rFonts w:hint="eastAsia" w:ascii="宋体" w:hAnsi="宋体" w:eastAsia="宋体" w:cs="宋体"/>
          <w:kern w:val="0"/>
        </w:rPr>
        <w:t>中约定施工现场建筑废弃物减量排放的要求和措施，明确承包人在施工现场建筑废弃物规范排放、分类处理、禁止混合排放等方面的要求和措施，以及建筑废弃物综合利用产品的相关使用要求，并约定相应违约责任。承包人向施工场地外排放建筑废弃物的，应按规定在排放前向建设、交通运输或水务部门申请建筑废弃物排放核准。</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承包人应采取一切适当措施，保护施工现场内外环境，防治扬尘、噪音、废气、废水、废渣等污染，限制由其施工作业引起的污染对公众和财产造成的损害和妨害。承包人应确保因其活动产生的扬尘、气体排放、地面排水及排污等，不超过政府部门规范要求。</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承包人在施工期间，应严格执行《广东省建设项目环境管理条例》、《深圳经济特区环境保护条例》和《深圳经济特区环境噪声污染防治条例》等有关法规的规定，依法文明施工，尽可能减少施工对居民生活的影响。</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⑷承包人在开工前应向政府环保部门申报施工期的环保方案。如需夜间连续施工，必须提前到政府环保部门申请核准手续。</w:t>
      </w:r>
    </w:p>
    <w:p>
      <w:pPr>
        <w:tabs>
          <w:tab w:val="left" w:pos="1620"/>
          <w:tab w:val="left" w:pos="2340"/>
        </w:tabs>
        <w:spacing w:after="156"/>
        <w:ind w:left="899"/>
        <w:rPr>
          <w:rFonts w:hint="eastAsia" w:ascii="宋体" w:hAnsi="宋体" w:eastAsia="宋体" w:cs="宋体"/>
          <w:kern w:val="0"/>
        </w:rPr>
      </w:pPr>
      <w:r>
        <w:rPr>
          <w:rFonts w:hint="eastAsia" w:ascii="宋体" w:hAnsi="宋体" w:eastAsia="宋体" w:cs="宋体"/>
          <w:kern w:val="0"/>
        </w:rPr>
        <w:t>⑸承包人应使用符合《在用非道路移动机械用柴油机排气烟度排放限值及测量方法》（SZJG49-2015）特区技术规范要求的非道路移动机械。</w:t>
      </w:r>
    </w:p>
    <w:p>
      <w:pPr>
        <w:pStyle w:val="2"/>
        <w:keepNext w:val="0"/>
        <w:keepLines w:val="0"/>
        <w:widowControl w:val="0"/>
        <w:tabs>
          <w:tab w:val="left" w:pos="720"/>
          <w:tab w:val="left" w:pos="1620"/>
          <w:tab w:val="left" w:pos="2340"/>
        </w:tabs>
        <w:spacing w:before="240" w:after="120"/>
        <w:ind w:left="178" w:firstLine="0"/>
        <w:rPr>
          <w:rFonts w:hint="eastAsia" w:ascii="宋体" w:hAnsi="宋体" w:eastAsia="宋体" w:cs="宋体"/>
        </w:rPr>
      </w:pPr>
      <w:bookmarkStart w:id="710" w:name="_Toc29146"/>
      <w:bookmarkStart w:id="711" w:name="_Toc302635820"/>
      <w:bookmarkStart w:id="712" w:name="_Toc67418597"/>
      <w:bookmarkStart w:id="713" w:name="_Toc305331333"/>
      <w:bookmarkStart w:id="714" w:name="_Toc35656989"/>
      <w:bookmarkStart w:id="715" w:name="_Toc34909070"/>
      <w:bookmarkStart w:id="716" w:name="_Toc305331341"/>
      <w:bookmarkStart w:id="717" w:name="_Toc35656487"/>
      <w:r>
        <w:rPr>
          <w:rFonts w:hint="eastAsia" w:ascii="宋体" w:cs="宋体"/>
          <w:lang w:val="en-US" w:eastAsia="zh-CN"/>
        </w:rPr>
        <w:t xml:space="preserve">18 </w:t>
      </w:r>
      <w:r>
        <w:rPr>
          <w:rFonts w:hint="eastAsia" w:ascii="宋体" w:hAnsi="宋体" w:eastAsia="宋体" w:cs="宋体"/>
        </w:rPr>
        <w:t>余泥渣土运输车辆要求</w:t>
      </w:r>
      <w:bookmarkEnd w:id="710"/>
      <w:bookmarkEnd w:id="711"/>
      <w:bookmarkEnd w:id="712"/>
      <w:bookmarkEnd w:id="713"/>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718" w:name="_Toc26148"/>
      <w:bookmarkStart w:id="719" w:name="_Toc305331334"/>
      <w:bookmarkStart w:id="720" w:name="_Toc67418598"/>
      <w:bookmarkStart w:id="721" w:name="_Toc302635821"/>
      <w:r>
        <w:rPr>
          <w:rFonts w:hint="eastAsia" w:ascii="宋体" w:hAnsi="宋体" w:cs="宋体"/>
          <w:sz w:val="24"/>
          <w:szCs w:val="24"/>
          <w:lang w:val="en-US" w:eastAsia="zh-CN"/>
        </w:rPr>
        <w:t xml:space="preserve">18.1 </w:t>
      </w:r>
      <w:r>
        <w:rPr>
          <w:rFonts w:hint="eastAsia" w:ascii="宋体" w:hAnsi="宋体" w:eastAsia="宋体" w:cs="宋体"/>
          <w:sz w:val="24"/>
          <w:szCs w:val="24"/>
        </w:rPr>
        <w:t>余泥渣土运输车辆证件要求</w:t>
      </w:r>
      <w:bookmarkEnd w:id="718"/>
      <w:bookmarkEnd w:id="719"/>
      <w:bookmarkEnd w:id="720"/>
      <w:bookmarkEnd w:id="721"/>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承担本工程余泥渣土运输任务的专业运输单位及其营运的余泥渣土运输车辆应当持有相关职能部门核发的下列有效证件：</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⑴专业运输单位应持有营业执照和交通部门核发的《道路运输经营许可证》；</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⑵余泥渣土运输车辆应持有：</w:t>
      </w:r>
    </w:p>
    <w:p>
      <w:pPr>
        <w:tabs>
          <w:tab w:val="left" w:pos="1620"/>
          <w:tab w:val="left" w:pos="2340"/>
        </w:tabs>
        <w:ind w:left="1260"/>
        <w:jc w:val="left"/>
        <w:rPr>
          <w:rFonts w:hint="eastAsia" w:ascii="宋体" w:hAnsi="宋体" w:eastAsia="宋体" w:cs="宋体"/>
          <w:kern w:val="0"/>
        </w:rPr>
      </w:pPr>
      <w:r>
        <w:rPr>
          <w:rFonts w:hint="eastAsia" w:ascii="宋体" w:hAnsi="宋体" w:eastAsia="宋体" w:cs="宋体"/>
          <w:kern w:val="0"/>
        </w:rPr>
        <w:t>①交通部门核发的《道路运输许可证》；</w:t>
      </w:r>
    </w:p>
    <w:p>
      <w:pPr>
        <w:tabs>
          <w:tab w:val="left" w:pos="1620"/>
          <w:tab w:val="left" w:pos="2340"/>
        </w:tabs>
        <w:ind w:left="1260"/>
        <w:jc w:val="left"/>
        <w:rPr>
          <w:rFonts w:hint="eastAsia" w:ascii="宋体" w:hAnsi="宋体" w:eastAsia="宋体" w:cs="宋体"/>
          <w:kern w:val="0"/>
        </w:rPr>
      </w:pPr>
      <w:r>
        <w:rPr>
          <w:rFonts w:hint="eastAsia" w:ascii="宋体" w:hAnsi="宋体" w:eastAsia="宋体" w:cs="宋体"/>
          <w:kern w:val="0"/>
        </w:rPr>
        <w:t>②城管部门核发的《城市建筑垃圾准运证》；</w:t>
      </w:r>
    </w:p>
    <w:p>
      <w:pPr>
        <w:tabs>
          <w:tab w:val="left" w:pos="1620"/>
          <w:tab w:val="left" w:pos="2340"/>
        </w:tabs>
        <w:ind w:left="1260"/>
        <w:jc w:val="left"/>
        <w:rPr>
          <w:rFonts w:hint="eastAsia" w:ascii="宋体" w:hAnsi="宋体" w:eastAsia="宋体" w:cs="宋体"/>
          <w:kern w:val="0"/>
        </w:rPr>
      </w:pPr>
      <w:r>
        <w:rPr>
          <w:rFonts w:hint="eastAsia" w:ascii="宋体" w:hAnsi="宋体" w:eastAsia="宋体" w:cs="宋体"/>
          <w:kern w:val="0"/>
        </w:rPr>
        <w:t>③公安交警部门核发的《机动车行驶证》、《深圳市余泥渣土运输车辆临时通行证》。</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⑶余泥渣土运输车辆驾驶员应持有相应的资格证件。</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722" w:name="_Toc67418599"/>
      <w:bookmarkStart w:id="723" w:name="_Toc302635822"/>
      <w:bookmarkStart w:id="724" w:name="_Toc13682"/>
      <w:bookmarkStart w:id="725" w:name="_Toc305331335"/>
      <w:r>
        <w:rPr>
          <w:rFonts w:hint="eastAsia" w:ascii="宋体" w:hAnsi="宋体" w:cs="宋体"/>
          <w:sz w:val="24"/>
          <w:szCs w:val="24"/>
          <w:lang w:val="en-US" w:eastAsia="zh-CN"/>
        </w:rPr>
        <w:t xml:space="preserve">18.2 </w:t>
      </w:r>
      <w:r>
        <w:rPr>
          <w:rFonts w:hint="eastAsia" w:ascii="宋体" w:hAnsi="宋体" w:eastAsia="宋体" w:cs="宋体"/>
          <w:sz w:val="24"/>
          <w:szCs w:val="24"/>
        </w:rPr>
        <w:t>承包人自行运输</w:t>
      </w:r>
      <w:bookmarkEnd w:id="722"/>
      <w:bookmarkEnd w:id="723"/>
      <w:bookmarkEnd w:id="724"/>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⑴承包人持有第18.1款相关证件，具备余泥渣土运输任务能力的，可自行组织完成本合同约定的余泥渣土运输任务。</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⑵承包人不持有第18.1款相关证件，不具备余泥渣土运输任务能力而自行承担余泥渣土运输任务，应按照</w:t>
      </w:r>
      <w:r>
        <w:rPr>
          <w:rFonts w:hint="eastAsia" w:ascii="宋体" w:hAnsi="宋体" w:eastAsia="宋体" w:cs="宋体"/>
          <w:b/>
          <w:i/>
          <w:kern w:val="0"/>
        </w:rPr>
        <w:t>专用条款</w:t>
      </w:r>
      <w:r>
        <w:rPr>
          <w:rFonts w:hint="eastAsia" w:ascii="宋体" w:hAnsi="宋体" w:eastAsia="宋体" w:cs="宋体"/>
          <w:kern w:val="0"/>
        </w:rPr>
        <w:t>的约定承担违约责任。同时，上述违约行为导致的工期延误和(或)费用增加，由承包人承担责任。</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726" w:name="_Toc302635823"/>
      <w:bookmarkStart w:id="727" w:name="_Toc32117"/>
      <w:bookmarkStart w:id="728" w:name="_Toc67418600"/>
      <w:r>
        <w:rPr>
          <w:rFonts w:hint="eastAsia" w:ascii="宋体" w:hAnsi="宋体" w:cs="宋体"/>
          <w:sz w:val="24"/>
          <w:szCs w:val="24"/>
          <w:lang w:val="en-US" w:eastAsia="zh-CN"/>
        </w:rPr>
        <w:t xml:space="preserve">18.3 </w:t>
      </w:r>
      <w:r>
        <w:rPr>
          <w:rFonts w:hint="eastAsia" w:ascii="宋体" w:hAnsi="宋体" w:eastAsia="宋体" w:cs="宋体"/>
          <w:sz w:val="24"/>
          <w:szCs w:val="24"/>
        </w:rPr>
        <w:t>余泥渣土运输分包</w:t>
      </w:r>
      <w:bookmarkEnd w:id="725"/>
      <w:bookmarkEnd w:id="726"/>
      <w:bookmarkEnd w:id="727"/>
      <w:bookmarkEnd w:id="728"/>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⑴承包人不持有第18.1款相关证件，不具备余泥渣土运输任务能力的，经发包人同意，承包人应将余泥渣土运输任务分包给符合第18.1款相关证件要求的专业运输单位，并报监理人审核和发包人批准。</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⑵承包人应将余泥渣土运输分包合同、专业运输单位和余泥渣土运输车辆的相关资料送发包人和监理人备案。此审核并不免除承包人应承担的本合同约定义务。</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⑶承包人将余泥渣土运输任务分包给不符合第18.1款相关证件要求的专业运输单位，应按照</w:t>
      </w:r>
      <w:r>
        <w:rPr>
          <w:rFonts w:hint="eastAsia" w:ascii="宋体" w:hAnsi="宋体" w:eastAsia="宋体" w:cs="宋体"/>
          <w:b/>
          <w:i/>
          <w:kern w:val="0"/>
        </w:rPr>
        <w:t>专用条款</w:t>
      </w:r>
      <w:r>
        <w:rPr>
          <w:rFonts w:hint="eastAsia" w:ascii="宋体" w:hAnsi="宋体" w:eastAsia="宋体" w:cs="宋体"/>
          <w:kern w:val="0"/>
        </w:rPr>
        <w:t>的约定承担违约责任。同时，上述违约行为导致的工期延误和(或)费用增加，由承包人承担责任。</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729" w:name="_Toc305331336"/>
      <w:bookmarkStart w:id="730" w:name="_Toc5207"/>
      <w:bookmarkStart w:id="731" w:name="_Toc67418601"/>
      <w:bookmarkStart w:id="732" w:name="_Toc302635824"/>
      <w:r>
        <w:rPr>
          <w:rFonts w:hint="eastAsia" w:ascii="宋体" w:hAnsi="宋体" w:cs="宋体"/>
          <w:sz w:val="24"/>
          <w:szCs w:val="24"/>
          <w:lang w:val="en-US" w:eastAsia="zh-CN"/>
        </w:rPr>
        <w:t xml:space="preserve">18.4 </w:t>
      </w:r>
      <w:r>
        <w:rPr>
          <w:rFonts w:hint="eastAsia" w:ascii="宋体" w:hAnsi="宋体" w:eastAsia="宋体" w:cs="宋体"/>
          <w:sz w:val="24"/>
          <w:szCs w:val="24"/>
        </w:rPr>
        <w:t>余泥渣土运输车辆保险</w:t>
      </w:r>
      <w:bookmarkEnd w:id="729"/>
      <w:bookmarkEnd w:id="730"/>
      <w:bookmarkEnd w:id="731"/>
      <w:bookmarkEnd w:id="732"/>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⑴承担本工程余泥渣土运输任务的车辆应当向有关保险公司投保，并取得车辆保险单。如因未投保的余泥渣土运输车辆造成第三人财产损失和(或)人身伤亡，余泥渣土运输车辆所属专业运输单位应承担连带责任。</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⑵承包人将余泥渣土运输任务分包时，承包人和车辆运输分包人应在余泥渣土运输分包合同中明确本款所述的连带责任。</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733" w:name="_Toc305331337"/>
      <w:bookmarkStart w:id="734" w:name="_Toc4321"/>
      <w:bookmarkStart w:id="735" w:name="_Toc67418602"/>
      <w:bookmarkStart w:id="736" w:name="_Toc302635825"/>
      <w:r>
        <w:rPr>
          <w:rFonts w:hint="eastAsia" w:ascii="宋体" w:hAnsi="宋体" w:cs="宋体"/>
          <w:sz w:val="24"/>
          <w:szCs w:val="24"/>
          <w:lang w:val="en-US" w:eastAsia="zh-CN"/>
        </w:rPr>
        <w:t xml:space="preserve">18.5 </w:t>
      </w:r>
      <w:r>
        <w:rPr>
          <w:rFonts w:hint="eastAsia" w:ascii="宋体" w:hAnsi="宋体" w:eastAsia="宋体" w:cs="宋体"/>
          <w:sz w:val="24"/>
          <w:szCs w:val="24"/>
        </w:rPr>
        <w:t>余泥渣土运输车辆和</w:t>
      </w:r>
      <w:bookmarkEnd w:id="733"/>
      <w:r>
        <w:rPr>
          <w:rFonts w:hint="eastAsia" w:ascii="宋体" w:hAnsi="宋体" w:eastAsia="宋体" w:cs="宋体"/>
          <w:sz w:val="24"/>
          <w:szCs w:val="24"/>
        </w:rPr>
        <w:t>驾驶员</w:t>
      </w:r>
      <w:bookmarkEnd w:id="734"/>
      <w:bookmarkEnd w:id="735"/>
      <w:bookmarkEnd w:id="736"/>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⑴承担本工程余泥渣土运输任务的车辆和驾驶员应当符合第18.1款相关证件要求，同时车辆还应具有第18.4⑴款所要求的车辆保险单，车辆应为符合《常用重型货车(泥头车)数据信息对照表》外形数据的重型车辆。</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⑵承包人按18.2款自行完成余泥渣土运输任务时，发包人和承包人应在</w:t>
      </w:r>
      <w:r>
        <w:rPr>
          <w:rFonts w:hint="eastAsia" w:ascii="宋体" w:hAnsi="宋体" w:eastAsia="宋体" w:cs="宋体"/>
          <w:b/>
          <w:i/>
          <w:kern w:val="0"/>
        </w:rPr>
        <w:t>专用条款</w:t>
      </w:r>
      <w:r>
        <w:rPr>
          <w:rFonts w:hint="eastAsia" w:ascii="宋体" w:hAnsi="宋体" w:eastAsia="宋体" w:cs="宋体"/>
          <w:kern w:val="0"/>
        </w:rPr>
        <w:t>中载明所有参加本工程余泥渣土运输车辆的数量、证件、车牌号码、驾驶员姓名、驾驶证件等信息。</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承包人按18.3款将余泥渣土运输任务分包时，承包人和运输分包人应在余泥渣土运输分包合同中载明所有参加本工程余泥渣土运输车辆的数量、证件、车牌号码、驾驶员姓名、驾驶证件等信息，并将名单报监理人备案。</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⑷对上述情形，如需改变已提交的车辆和驾驶员名单，承包人或运输分包人应在确定改变前7天将拟改变的名单提交监理人审核确认。</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⑸若承包人违反本款规定，应承担</w:t>
      </w:r>
      <w:r>
        <w:rPr>
          <w:rFonts w:hint="eastAsia" w:ascii="宋体" w:hAnsi="宋体" w:eastAsia="宋体" w:cs="宋体"/>
          <w:b/>
          <w:i/>
          <w:kern w:val="0"/>
        </w:rPr>
        <w:t>专用条款</w:t>
      </w:r>
      <w:r>
        <w:rPr>
          <w:rFonts w:hint="eastAsia" w:ascii="宋体" w:hAnsi="宋体" w:eastAsia="宋体" w:cs="宋体"/>
          <w:kern w:val="0"/>
        </w:rPr>
        <w:t>中约定的违约责任；对于车辆运输分包人违反上述规定，承包人亦应在运输分包合同中约定此违约责任，并承担连带责任。</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737" w:name="_Toc67418603"/>
      <w:bookmarkStart w:id="738" w:name="_Toc28132"/>
      <w:bookmarkStart w:id="739" w:name="_Toc302635826"/>
      <w:bookmarkStart w:id="740" w:name="_Toc305331338"/>
      <w:r>
        <w:rPr>
          <w:rFonts w:hint="eastAsia" w:ascii="宋体" w:hAnsi="宋体" w:cs="宋体"/>
          <w:sz w:val="24"/>
          <w:szCs w:val="24"/>
          <w:lang w:val="en-US" w:eastAsia="zh-CN"/>
        </w:rPr>
        <w:t xml:space="preserve">18.6 </w:t>
      </w:r>
      <w:r>
        <w:rPr>
          <w:rFonts w:hint="eastAsia" w:ascii="宋体" w:hAnsi="宋体" w:eastAsia="宋体" w:cs="宋体"/>
          <w:sz w:val="24"/>
          <w:szCs w:val="24"/>
        </w:rPr>
        <w:t>专职检查人员</w:t>
      </w:r>
      <w:bookmarkEnd w:id="737"/>
      <w:bookmarkEnd w:id="738"/>
      <w:bookmarkEnd w:id="739"/>
      <w:bookmarkEnd w:id="740"/>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承包人应安排专职检查人员对余泥渣土运输车辆和专职驾驶员依本合同约定的内容进行检查。对违反合同约定的检查结果，承包人应责令相关方限期整改。整改期间，整改所涉余泥渣土运输车辆不得承担本工程约定的运输任务。承包人安排的专职检查人员和检查内容在</w:t>
      </w:r>
      <w:r>
        <w:rPr>
          <w:rFonts w:hint="eastAsia" w:ascii="宋体" w:hAnsi="宋体" w:eastAsia="宋体" w:cs="宋体"/>
          <w:b/>
          <w:i/>
          <w:kern w:val="0"/>
        </w:rPr>
        <w:t>专用条款</w:t>
      </w:r>
      <w:r>
        <w:rPr>
          <w:rFonts w:hint="eastAsia" w:ascii="宋体" w:hAnsi="宋体" w:eastAsia="宋体" w:cs="宋体"/>
          <w:kern w:val="0"/>
        </w:rPr>
        <w:t>中明确。</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741" w:name="_Toc23655"/>
      <w:bookmarkStart w:id="742" w:name="_Toc302635827"/>
      <w:bookmarkStart w:id="743" w:name="_Toc305331339"/>
      <w:bookmarkStart w:id="744" w:name="_Toc67418604"/>
      <w:r>
        <w:rPr>
          <w:rFonts w:hint="eastAsia" w:ascii="宋体" w:hAnsi="宋体" w:cs="宋体"/>
          <w:sz w:val="24"/>
          <w:szCs w:val="24"/>
          <w:lang w:val="en-US" w:eastAsia="zh-CN"/>
        </w:rPr>
        <w:t xml:space="preserve">18.7 </w:t>
      </w:r>
      <w:r>
        <w:rPr>
          <w:rFonts w:hint="eastAsia" w:ascii="宋体" w:hAnsi="宋体" w:eastAsia="宋体" w:cs="宋体"/>
          <w:sz w:val="24"/>
          <w:szCs w:val="24"/>
        </w:rPr>
        <w:t>余泥渣土安全文明运输</w:t>
      </w:r>
      <w:bookmarkEnd w:id="741"/>
      <w:bookmarkEnd w:id="742"/>
      <w:bookmarkEnd w:id="743"/>
      <w:bookmarkEnd w:id="744"/>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承包人对余泥渣土运输车辆在离开施工现场前核查是否存在超载、车盖密封不严等违反城市道路管理、环境保护等相关规定及安全隐患的问题。如发现上述问题，承包人应指派专职检查人员责令相关方采取纠正措施至符合相关规定和(或)合同约定。对存在问题拒不纠正或纠正仍不符合相关规定和(或)合同约定的，该专职检查人员不得放行其离开施工现场，并立即通知项目经理和余泥渣土运输分包人(如有)。若承包人对本款发现的问题拒不履行合同义务，将承担</w:t>
      </w:r>
      <w:r>
        <w:rPr>
          <w:rFonts w:hint="eastAsia" w:ascii="宋体" w:hAnsi="宋体" w:eastAsia="宋体" w:cs="宋体"/>
          <w:b/>
          <w:i/>
          <w:kern w:val="0"/>
        </w:rPr>
        <w:t>专用条款</w:t>
      </w:r>
      <w:r>
        <w:rPr>
          <w:rFonts w:hint="eastAsia" w:ascii="宋体" w:hAnsi="宋体" w:eastAsia="宋体" w:cs="宋体"/>
          <w:kern w:val="0"/>
        </w:rPr>
        <w:t>约定的违约责任。</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745" w:name="_Toc302635828"/>
      <w:bookmarkStart w:id="746" w:name="_Toc305331340"/>
      <w:bookmarkStart w:id="747" w:name="_Toc67418605"/>
      <w:bookmarkStart w:id="748" w:name="_Toc18405"/>
      <w:r>
        <w:rPr>
          <w:rFonts w:hint="eastAsia" w:ascii="宋体" w:hAnsi="宋体" w:cs="宋体"/>
          <w:sz w:val="24"/>
          <w:szCs w:val="24"/>
          <w:lang w:val="en-US" w:eastAsia="zh-CN"/>
        </w:rPr>
        <w:t xml:space="preserve">18.8 </w:t>
      </w:r>
      <w:r>
        <w:rPr>
          <w:rFonts w:hint="eastAsia" w:ascii="宋体" w:hAnsi="宋体" w:eastAsia="宋体" w:cs="宋体"/>
          <w:sz w:val="24"/>
          <w:szCs w:val="24"/>
        </w:rPr>
        <w:t>检查纠正责任</w:t>
      </w:r>
      <w:bookmarkEnd w:id="745"/>
      <w:bookmarkEnd w:id="746"/>
      <w:bookmarkEnd w:id="747"/>
      <w:bookmarkEnd w:id="748"/>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承包人应对18.6款和18.7款约定的检查纠正工作制定专项工作程序，并监督和督促专职检查人员认真履行合同约定的职责。此项监督和督促并不免除承包人应承担的本合同义务。若承包人指定的专职检查人员未履行合同约定的检查纠正职责，承包人应承担</w:t>
      </w:r>
      <w:r>
        <w:rPr>
          <w:rFonts w:hint="eastAsia" w:ascii="宋体" w:hAnsi="宋体" w:eastAsia="宋体" w:cs="宋体"/>
          <w:b/>
          <w:i/>
          <w:kern w:val="0"/>
        </w:rPr>
        <w:t>专用条款</w:t>
      </w:r>
      <w:r>
        <w:rPr>
          <w:rFonts w:hint="eastAsia" w:ascii="宋体" w:hAnsi="宋体" w:eastAsia="宋体" w:cs="宋体"/>
          <w:kern w:val="0"/>
        </w:rPr>
        <w:t>约定的违约责任。</w:t>
      </w:r>
    </w:p>
    <w:p>
      <w:pPr>
        <w:pStyle w:val="2"/>
        <w:keepNext w:val="0"/>
        <w:keepLines w:val="0"/>
        <w:widowControl w:val="0"/>
        <w:tabs>
          <w:tab w:val="left" w:pos="720"/>
          <w:tab w:val="left" w:pos="1620"/>
          <w:tab w:val="left" w:pos="2340"/>
        </w:tabs>
        <w:spacing w:before="240" w:after="120"/>
        <w:ind w:left="178" w:firstLine="0"/>
        <w:rPr>
          <w:rFonts w:hint="eastAsia" w:ascii="宋体" w:hAnsi="宋体" w:eastAsia="宋体" w:cs="宋体"/>
        </w:rPr>
      </w:pPr>
      <w:bookmarkStart w:id="749" w:name="_Toc302635829"/>
      <w:bookmarkStart w:id="750" w:name="_Toc18764"/>
      <w:bookmarkStart w:id="751" w:name="_Toc67418606"/>
      <w:r>
        <w:rPr>
          <w:rFonts w:hint="eastAsia" w:ascii="宋体" w:cs="宋体"/>
          <w:lang w:val="en-US" w:eastAsia="zh-CN"/>
        </w:rPr>
        <w:t xml:space="preserve">19 </w:t>
      </w:r>
      <w:r>
        <w:rPr>
          <w:rFonts w:hint="eastAsia" w:ascii="宋体" w:hAnsi="宋体" w:eastAsia="宋体" w:cs="宋体"/>
        </w:rPr>
        <w:t>工程的保护</w:t>
      </w:r>
      <w:bookmarkEnd w:id="714"/>
      <w:bookmarkEnd w:id="715"/>
      <w:bookmarkEnd w:id="716"/>
      <w:bookmarkEnd w:id="717"/>
      <w:bookmarkEnd w:id="749"/>
      <w:bookmarkEnd w:id="750"/>
      <w:bookmarkEnd w:id="751"/>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752" w:name="_Toc305331342"/>
      <w:bookmarkStart w:id="753" w:name="_Toc302635830"/>
      <w:bookmarkStart w:id="754" w:name="_Toc67418607"/>
      <w:bookmarkStart w:id="755" w:name="_Toc32424"/>
      <w:bookmarkStart w:id="756" w:name="_Toc34909071"/>
      <w:r>
        <w:rPr>
          <w:rFonts w:hint="eastAsia" w:ascii="宋体" w:hAnsi="宋体" w:cs="宋体"/>
          <w:sz w:val="24"/>
          <w:szCs w:val="24"/>
          <w:lang w:val="en-US" w:eastAsia="zh-CN"/>
        </w:rPr>
        <w:t xml:space="preserve">19.1 </w:t>
      </w:r>
      <w:r>
        <w:rPr>
          <w:rFonts w:hint="eastAsia" w:ascii="宋体" w:hAnsi="宋体" w:eastAsia="宋体" w:cs="宋体"/>
          <w:sz w:val="24"/>
          <w:szCs w:val="24"/>
        </w:rPr>
        <w:t>工程的保护</w:t>
      </w:r>
      <w:bookmarkEnd w:id="752"/>
      <w:bookmarkEnd w:id="753"/>
      <w:bookmarkEnd w:id="754"/>
      <w:bookmarkEnd w:id="755"/>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从开工之日起，承包人应全面负责照管本工程及将用于和安装在本工程中的材料、设备，直到本工程交接证书签发之日止。此后，上述照管责任即交给发包人。如在整个工程交接证书颁发前，已就其中任何单项工程颁发了交接证书，则从交接证书签发之日起承包人无须对该单项工程负责保护，而转由发包人负责。但是，承包人对其在缺陷责任期内承担的尚未完成的工程和将用于和安装在工程中的材料、设备的照管负责，直到该工程完工为止。</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⑵本款所述照管责任是指照管责任人应对因丢失、盗失、毁损等行为引起的材料、设备使用状态和存在状态不符合合同约定承担修复、赔偿、损失自担等责任。</w:t>
      </w:r>
      <w:bookmarkEnd w:id="756"/>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757" w:name="_Toc305331343"/>
      <w:bookmarkStart w:id="758" w:name="_Toc302635831"/>
      <w:bookmarkStart w:id="759" w:name="_Toc67418608"/>
      <w:bookmarkStart w:id="760" w:name="_Toc25168"/>
      <w:bookmarkStart w:id="761" w:name="_Toc34909073"/>
      <w:bookmarkStart w:id="762" w:name="_Toc34909072"/>
      <w:r>
        <w:rPr>
          <w:rFonts w:hint="eastAsia" w:ascii="宋体" w:hAnsi="宋体" w:cs="宋体"/>
          <w:sz w:val="24"/>
          <w:szCs w:val="24"/>
          <w:lang w:val="en-US" w:eastAsia="zh-CN"/>
        </w:rPr>
        <w:t xml:space="preserve">19.2 </w:t>
      </w:r>
      <w:r>
        <w:rPr>
          <w:rFonts w:hint="eastAsia" w:ascii="宋体" w:hAnsi="宋体" w:eastAsia="宋体" w:cs="宋体"/>
          <w:sz w:val="24"/>
          <w:szCs w:val="24"/>
        </w:rPr>
        <w:t>成品、半成品保护</w:t>
      </w:r>
      <w:bookmarkEnd w:id="757"/>
      <w:bookmarkEnd w:id="758"/>
      <w:bookmarkEnd w:id="759"/>
      <w:bookmarkEnd w:id="760"/>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对工程中分期完成的成品、半成品，在工程竣工移交前，承包人负保护责任，任何其他分包人对其使用或在其基础上施工，必须得到承包人的许可。对监理人确认因承包人保护措施不当造成的损坏，由承包人负责修复；对分包人在施工过程中造成的损坏由责任人负责修复。</w:t>
      </w:r>
      <w:bookmarkEnd w:id="761"/>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763" w:name="_Toc67418609"/>
      <w:bookmarkStart w:id="764" w:name="_Toc23252"/>
      <w:bookmarkStart w:id="765" w:name="_Toc305331344"/>
      <w:bookmarkStart w:id="766" w:name="_Toc302635832"/>
      <w:r>
        <w:rPr>
          <w:rFonts w:hint="eastAsia" w:ascii="宋体" w:hAnsi="宋体" w:cs="宋体"/>
          <w:sz w:val="24"/>
          <w:szCs w:val="24"/>
          <w:lang w:val="en-US" w:eastAsia="zh-CN"/>
        </w:rPr>
        <w:t xml:space="preserve">19.3 </w:t>
      </w:r>
      <w:r>
        <w:rPr>
          <w:rFonts w:hint="eastAsia" w:ascii="宋体" w:hAnsi="宋体" w:eastAsia="宋体" w:cs="宋体"/>
          <w:sz w:val="24"/>
          <w:szCs w:val="24"/>
        </w:rPr>
        <w:t>工程的修复</w:t>
      </w:r>
      <w:bookmarkEnd w:id="763"/>
      <w:bookmarkEnd w:id="764"/>
      <w:bookmarkEnd w:id="765"/>
      <w:bookmarkEnd w:id="766"/>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承包人在负责照管期间，如因承包人自身或(和)第三方原因造成本工程或其任何部分，以及材料、设备、装备、临时工程的毁损，承包人均应自费弥补上述损坏、损失或损伤，以使工程在各方面都符合合同约定的标准。</w:t>
      </w:r>
      <w:bookmarkEnd w:id="762"/>
    </w:p>
    <w:p>
      <w:pPr>
        <w:pStyle w:val="2"/>
        <w:keepNext w:val="0"/>
        <w:keepLines w:val="0"/>
        <w:widowControl w:val="0"/>
        <w:tabs>
          <w:tab w:val="left" w:pos="720"/>
          <w:tab w:val="left" w:pos="1620"/>
          <w:tab w:val="left" w:pos="2340"/>
        </w:tabs>
        <w:spacing w:before="240" w:after="120"/>
        <w:ind w:left="178" w:firstLine="0"/>
        <w:rPr>
          <w:rFonts w:hint="eastAsia" w:ascii="宋体" w:hAnsi="宋体" w:eastAsia="宋体" w:cs="宋体"/>
        </w:rPr>
      </w:pPr>
      <w:bookmarkStart w:id="767" w:name="_Toc34909075"/>
      <w:bookmarkStart w:id="768" w:name="_Toc35656489"/>
      <w:bookmarkStart w:id="769" w:name="_Toc35656991"/>
      <w:bookmarkStart w:id="770" w:name="_Toc15042"/>
      <w:bookmarkStart w:id="771" w:name="_Toc302635833"/>
      <w:bookmarkStart w:id="772" w:name="_Toc67418610"/>
      <w:bookmarkStart w:id="773" w:name="_Toc305331345"/>
      <w:r>
        <w:rPr>
          <w:rFonts w:hint="eastAsia" w:ascii="宋体" w:cs="宋体"/>
          <w:lang w:val="en-US" w:eastAsia="zh-CN"/>
        </w:rPr>
        <w:t xml:space="preserve">20 </w:t>
      </w:r>
      <w:r>
        <w:rPr>
          <w:rFonts w:hint="eastAsia" w:ascii="宋体" w:hAnsi="宋体" w:eastAsia="宋体" w:cs="宋体"/>
        </w:rPr>
        <w:t>合同</w:t>
      </w:r>
      <w:bookmarkEnd w:id="767"/>
      <w:bookmarkEnd w:id="768"/>
      <w:bookmarkEnd w:id="769"/>
      <w:r>
        <w:rPr>
          <w:rFonts w:hint="eastAsia" w:ascii="宋体" w:hAnsi="宋体" w:eastAsia="宋体" w:cs="宋体"/>
        </w:rPr>
        <w:t>价格的确定和调整</w:t>
      </w:r>
      <w:bookmarkEnd w:id="770"/>
      <w:bookmarkEnd w:id="771"/>
      <w:bookmarkEnd w:id="772"/>
      <w:bookmarkEnd w:id="773"/>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774" w:name="_Toc302635834"/>
      <w:bookmarkStart w:id="775" w:name="_Toc25272"/>
      <w:bookmarkStart w:id="776" w:name="_Toc305331346"/>
      <w:bookmarkStart w:id="777" w:name="_Toc67418611"/>
      <w:bookmarkStart w:id="778" w:name="_Toc34909076"/>
      <w:r>
        <w:rPr>
          <w:rFonts w:hint="eastAsia" w:ascii="宋体" w:hAnsi="宋体" w:cs="宋体"/>
          <w:sz w:val="24"/>
          <w:szCs w:val="24"/>
          <w:lang w:val="en-US" w:eastAsia="zh-CN"/>
        </w:rPr>
        <w:t xml:space="preserve">20.1 </w:t>
      </w:r>
      <w:r>
        <w:rPr>
          <w:rFonts w:hint="eastAsia" w:ascii="宋体" w:hAnsi="宋体" w:eastAsia="宋体" w:cs="宋体"/>
          <w:sz w:val="24"/>
          <w:szCs w:val="24"/>
        </w:rPr>
        <w:t>签约合同价的确定</w:t>
      </w:r>
      <w:bookmarkEnd w:id="774"/>
      <w:bookmarkEnd w:id="775"/>
      <w:bookmarkEnd w:id="776"/>
      <w:bookmarkEnd w:id="777"/>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⑴本工程签约合同价由发包人和承包人依据中标通知书中的中标价(即承包人的投标报价)在本合同协议书中约定。签约合同价在本合同协议书中约定后，任何一方不得擅自改变。</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⑵本合同采用</w:t>
      </w:r>
      <w:r>
        <w:rPr>
          <w:rFonts w:hint="eastAsia" w:ascii="宋体" w:hAnsi="宋体" w:eastAsia="宋体" w:cs="宋体"/>
          <w:b/>
          <w:kern w:val="0"/>
        </w:rPr>
        <w:t>固定单价</w:t>
      </w:r>
      <w:r>
        <w:rPr>
          <w:rFonts w:hint="eastAsia" w:ascii="宋体" w:hAnsi="宋体" w:eastAsia="宋体" w:cs="宋体"/>
          <w:kern w:val="0"/>
        </w:rPr>
        <w:t>的合同形式。承包人投标报价中的</w:t>
      </w:r>
      <w:r>
        <w:rPr>
          <w:rFonts w:hint="eastAsia" w:ascii="宋体" w:hAnsi="宋体" w:eastAsia="宋体" w:cs="宋体"/>
          <w:szCs w:val="21"/>
        </w:rPr>
        <w:t>工程量清单项目单价</w:t>
      </w:r>
      <w:r>
        <w:rPr>
          <w:rFonts w:hint="eastAsia" w:ascii="宋体" w:hAnsi="宋体" w:eastAsia="宋体" w:cs="宋体"/>
          <w:kern w:val="0"/>
        </w:rPr>
        <w:t>即为构成签约合同价的项目单价。除本合同另有约定，构成签约合同价的项目单价一经发包人和承包人签订合同确定后不作调整。</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⑶承发包双方应在</w:t>
      </w:r>
      <w:r>
        <w:rPr>
          <w:rFonts w:hint="eastAsia" w:ascii="宋体" w:hAnsi="宋体" w:eastAsia="宋体" w:cs="宋体"/>
          <w:b/>
          <w:i/>
          <w:kern w:val="0"/>
        </w:rPr>
        <w:t>专用条款</w:t>
      </w:r>
      <w:r>
        <w:rPr>
          <w:rFonts w:hint="eastAsia" w:ascii="宋体" w:hAnsi="宋体" w:eastAsia="宋体" w:cs="宋体"/>
          <w:kern w:val="0"/>
        </w:rPr>
        <w:t>中约定综合单价包含的风险范围。</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⑷除合同另有约定以外，按照国家现行税法和有关部门现行规定，承包人或其分包人需缴纳的一切税金和费用，均应由承包人或其分包人承担并支付。</w:t>
      </w:r>
      <w:bookmarkEnd w:id="778"/>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779" w:name="_Toc26378"/>
      <w:bookmarkStart w:id="780" w:name="_Toc305331347"/>
      <w:bookmarkStart w:id="781" w:name="_Toc302635835"/>
      <w:bookmarkStart w:id="782" w:name="_Toc67418612"/>
      <w:r>
        <w:rPr>
          <w:rFonts w:hint="eastAsia" w:ascii="宋体" w:hAnsi="宋体" w:cs="宋体"/>
          <w:sz w:val="24"/>
          <w:szCs w:val="24"/>
          <w:lang w:val="en-US" w:eastAsia="zh-CN"/>
        </w:rPr>
        <w:t xml:space="preserve">20.2 </w:t>
      </w:r>
      <w:r>
        <w:rPr>
          <w:rFonts w:hint="eastAsia" w:ascii="宋体" w:hAnsi="宋体" w:eastAsia="宋体" w:cs="宋体"/>
          <w:sz w:val="24"/>
          <w:szCs w:val="24"/>
        </w:rPr>
        <w:t>合同价格的调整</w:t>
      </w:r>
      <w:bookmarkEnd w:id="779"/>
      <w:bookmarkEnd w:id="780"/>
      <w:bookmarkEnd w:id="781"/>
      <w:bookmarkEnd w:id="782"/>
    </w:p>
    <w:p>
      <w:pPr>
        <w:tabs>
          <w:tab w:val="left" w:pos="1620"/>
          <w:tab w:val="left" w:pos="2340"/>
        </w:tabs>
        <w:spacing w:before="156"/>
        <w:ind w:left="899"/>
        <w:jc w:val="left"/>
        <w:rPr>
          <w:rFonts w:hint="eastAsia" w:ascii="宋体" w:hAnsi="宋体" w:eastAsia="宋体" w:cs="宋体"/>
          <w:kern w:val="0"/>
        </w:rPr>
      </w:pPr>
      <w:r>
        <w:rPr>
          <w:rFonts w:hint="eastAsia" w:ascii="宋体" w:hAnsi="宋体" w:eastAsia="宋体" w:cs="宋体"/>
          <w:kern w:val="0"/>
        </w:rPr>
        <w:t xml:space="preserve">发生以下情形，合同价格可作调整： </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⑴按照第13条确定的提前竣工、延期竣工及赶工补偿；</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 xml:space="preserve">⑵按照第20.3款确定的法律、法规的变化； </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⑶按照第20.4款确定工料机调差；</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⑷按照第21条确定的暂估价、暂列金额；</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⑸按照第22条确定的工程量清单缺项、项目特征不符；</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⑹按照第24、25条确定的工程变更、签证、工程量偏差以及价值工程费用或收益；</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⑺按照第28条及本合同其它条款中确定的违约责任；</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⑻按照第29条确定的费用索赔事件；</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⑼按照第32条确定的应由发包人承担的不可抗力损失费用；</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⑽市工程造价管理机构发布的工程造价调整政策；</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⑾本合同条款以及</w:t>
      </w:r>
      <w:r>
        <w:rPr>
          <w:rFonts w:hint="eastAsia" w:ascii="宋体" w:hAnsi="宋体" w:eastAsia="宋体" w:cs="宋体"/>
          <w:b/>
          <w:i/>
          <w:kern w:val="0"/>
        </w:rPr>
        <w:t>专用条款</w:t>
      </w:r>
      <w:r>
        <w:rPr>
          <w:rFonts w:hint="eastAsia" w:ascii="宋体" w:hAnsi="宋体" w:eastAsia="宋体" w:cs="宋体"/>
          <w:kern w:val="0"/>
        </w:rPr>
        <w:t>约定的其他调整因素。</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783" w:name="_Toc302635836"/>
      <w:bookmarkStart w:id="784" w:name="_Toc11042"/>
      <w:bookmarkStart w:id="785" w:name="_Toc67418613"/>
      <w:bookmarkStart w:id="786" w:name="_Toc305331348"/>
      <w:r>
        <w:rPr>
          <w:rFonts w:hint="eastAsia" w:ascii="宋体" w:hAnsi="宋体" w:cs="宋体"/>
          <w:sz w:val="24"/>
          <w:szCs w:val="24"/>
          <w:lang w:val="en-US" w:eastAsia="zh-CN"/>
        </w:rPr>
        <w:t xml:space="preserve">20.3 </w:t>
      </w:r>
      <w:r>
        <w:rPr>
          <w:rFonts w:hint="eastAsia" w:ascii="宋体" w:hAnsi="宋体" w:eastAsia="宋体" w:cs="宋体"/>
          <w:sz w:val="24"/>
          <w:szCs w:val="24"/>
        </w:rPr>
        <w:t>法律法规的改变</w:t>
      </w:r>
      <w:bookmarkEnd w:id="783"/>
      <w:bookmarkEnd w:id="784"/>
      <w:bookmarkEnd w:id="785"/>
      <w:bookmarkEnd w:id="786"/>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⑴合同签订后,因国家法律、法规、规章和政策的改变对合同价格产生影响的,合同价格应作调整。发包人和承包人应根据法律法规改变造成的实际影响，按照市工程造价管理机构发布的相应办法进行调整。</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 xml:space="preserve">⑵按前款情形对合同价格进行调整时，因承包人原因导致工期延误的，在本合同约定竣工日期之后，合同价格调增的不予调整，合同价格调减的予以调整。 </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⑶因承包人原因造成工期延误，在工期延误期间出现法律变化的，由此增加的费用和（或）延误的工期由承包人承担。</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⑷因法律变化引起的合同价格和工期调整，承发包双方无法达成一致的，按第30条［争议解决］处理。</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787" w:name="_Toc67418614"/>
      <w:bookmarkStart w:id="788" w:name="_Toc302635837"/>
      <w:bookmarkStart w:id="789" w:name="_Toc23199"/>
      <w:bookmarkStart w:id="790" w:name="_Toc305331349"/>
      <w:r>
        <w:rPr>
          <w:rFonts w:hint="eastAsia" w:ascii="宋体" w:hAnsi="宋体" w:cs="宋体"/>
          <w:sz w:val="24"/>
          <w:szCs w:val="24"/>
          <w:lang w:val="en-US" w:eastAsia="zh-CN"/>
        </w:rPr>
        <w:t xml:space="preserve">20.4 </w:t>
      </w:r>
      <w:r>
        <w:rPr>
          <w:rFonts w:hint="eastAsia" w:ascii="宋体" w:hAnsi="宋体" w:eastAsia="宋体" w:cs="宋体"/>
          <w:sz w:val="24"/>
          <w:szCs w:val="24"/>
        </w:rPr>
        <w:t>工料机调差</w:t>
      </w:r>
      <w:bookmarkEnd w:id="787"/>
      <w:bookmarkEnd w:id="788"/>
      <w:bookmarkEnd w:id="789"/>
      <w:bookmarkEnd w:id="790"/>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⑴承包人应充分考虑本工程施工期间因材料或劳务市场价格波动等任何有可能引起施工成本增加的风险(本合同约定可调差情形除外)，并不得据此提出索赔。</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⑵除</w:t>
      </w:r>
      <w:r>
        <w:rPr>
          <w:rFonts w:hint="eastAsia" w:ascii="宋体" w:hAnsi="宋体" w:eastAsia="宋体" w:cs="宋体"/>
          <w:b/>
          <w:i/>
          <w:kern w:val="0"/>
        </w:rPr>
        <w:t>专用条款</w:t>
      </w:r>
      <w:r>
        <w:rPr>
          <w:rFonts w:hint="eastAsia" w:ascii="宋体" w:hAnsi="宋体" w:eastAsia="宋体" w:cs="宋体"/>
          <w:kern w:val="0"/>
        </w:rPr>
        <w:t>另有约定外，由于非承包人原因引起的用于本工程的人工、主要材料及机械使用的价格波动超过</w:t>
      </w:r>
      <w:r>
        <w:rPr>
          <w:rFonts w:hint="eastAsia" w:ascii="宋体" w:hAnsi="宋体" w:eastAsia="宋体" w:cs="宋体"/>
          <w:b/>
          <w:kern w:val="0"/>
        </w:rPr>
        <w:t>±5%</w:t>
      </w:r>
      <w:r>
        <w:rPr>
          <w:rFonts w:hint="eastAsia" w:ascii="宋体" w:hAnsi="宋体" w:eastAsia="宋体" w:cs="宋体"/>
          <w:kern w:val="0"/>
        </w:rPr>
        <w:t>时，其超过部分的合同价格应按20.5款、20.6款方法在与其相关的工程完工后一次性进行调整。</w:t>
      </w:r>
    </w:p>
    <w:p>
      <w:pPr>
        <w:tabs>
          <w:tab w:val="left" w:pos="1620"/>
          <w:tab w:val="left" w:pos="2340"/>
        </w:tabs>
        <w:spacing w:after="156"/>
        <w:ind w:left="899"/>
        <w:jc w:val="left"/>
        <w:rPr>
          <w:rFonts w:hint="eastAsia" w:ascii="宋体" w:hAnsi="宋体" w:eastAsia="宋体" w:cs="宋体"/>
          <w:kern w:val="0"/>
        </w:rPr>
      </w:pPr>
      <w:bookmarkStart w:id="791" w:name="_Toc34909079"/>
      <w:r>
        <w:rPr>
          <w:rFonts w:hint="eastAsia" w:ascii="宋体" w:hAnsi="宋体" w:eastAsia="宋体" w:cs="宋体"/>
          <w:kern w:val="0"/>
        </w:rPr>
        <w:t>⑶主要材料是指用于本工程的某种材料价格总额达到签约合同价</w:t>
      </w:r>
      <w:r>
        <w:rPr>
          <w:rFonts w:hint="eastAsia" w:ascii="宋体" w:hAnsi="宋体" w:eastAsia="宋体" w:cs="宋体"/>
          <w:b/>
          <w:kern w:val="0"/>
        </w:rPr>
        <w:t>5%</w:t>
      </w:r>
      <w:r>
        <w:rPr>
          <w:rFonts w:hint="eastAsia" w:ascii="宋体" w:hAnsi="宋体" w:eastAsia="宋体" w:cs="宋体"/>
          <w:kern w:val="0"/>
        </w:rPr>
        <w:t>或</w:t>
      </w:r>
      <w:r>
        <w:rPr>
          <w:rFonts w:hint="eastAsia" w:ascii="宋体" w:hAnsi="宋体" w:eastAsia="宋体" w:cs="宋体"/>
          <w:b/>
          <w:i/>
          <w:kern w:val="0"/>
        </w:rPr>
        <w:t>专用条款</w:t>
      </w:r>
      <w:r>
        <w:rPr>
          <w:rFonts w:hint="eastAsia" w:ascii="宋体" w:hAnsi="宋体" w:eastAsia="宋体" w:cs="宋体"/>
          <w:kern w:val="0"/>
        </w:rPr>
        <w:t>约定比例及以上的材料。</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⑷发包人和承包人可根据本工程的具体实际，在</w:t>
      </w:r>
      <w:r>
        <w:rPr>
          <w:rFonts w:hint="eastAsia" w:ascii="宋体" w:hAnsi="宋体" w:eastAsia="宋体" w:cs="宋体"/>
          <w:b/>
          <w:i/>
          <w:kern w:val="0"/>
        </w:rPr>
        <w:t>专用条款</w:t>
      </w:r>
      <w:r>
        <w:rPr>
          <w:rFonts w:hint="eastAsia" w:ascii="宋体" w:hAnsi="宋体" w:eastAsia="宋体" w:cs="宋体"/>
          <w:kern w:val="0"/>
        </w:rPr>
        <w:t>约定</w:t>
      </w:r>
      <w:r>
        <w:rPr>
          <w:rFonts w:hint="eastAsia" w:ascii="宋体" w:hAnsi="宋体" w:eastAsia="宋体" w:cs="宋体"/>
        </w:rPr>
        <w:t>用于本工程的未达到20.4</w:t>
      </w:r>
      <w:r>
        <w:rPr>
          <w:rFonts w:hint="eastAsia" w:ascii="宋体" w:hAnsi="宋体" w:eastAsia="宋体" w:cs="宋体"/>
          <w:kern w:val="0"/>
        </w:rPr>
        <w:t>⑶</w:t>
      </w:r>
      <w:r>
        <w:rPr>
          <w:rFonts w:hint="eastAsia" w:ascii="宋体" w:hAnsi="宋体" w:eastAsia="宋体" w:cs="宋体"/>
        </w:rPr>
        <w:t>款约定比例的其它材料中</w:t>
      </w:r>
      <w:r>
        <w:rPr>
          <w:rFonts w:hint="eastAsia" w:ascii="宋体" w:hAnsi="宋体" w:eastAsia="宋体" w:cs="宋体"/>
          <w:kern w:val="0"/>
        </w:rPr>
        <w:t>可调差的材料种类。</w:t>
      </w:r>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⑸工料机调差费用部分应按《深圳市建设工程计价规程》计取规费和税金，不计企业管理费和利润。工料机调差费用应按</w:t>
      </w:r>
      <w:r>
        <w:rPr>
          <w:rFonts w:hint="eastAsia" w:ascii="宋体" w:hAnsi="宋体" w:eastAsia="宋体" w:cs="宋体"/>
          <w:b/>
          <w:i/>
          <w:kern w:val="0"/>
        </w:rPr>
        <w:t>专用条款</w:t>
      </w:r>
      <w:r>
        <w:rPr>
          <w:rFonts w:hint="eastAsia" w:ascii="宋体" w:hAnsi="宋体" w:eastAsia="宋体" w:cs="宋体"/>
          <w:kern w:val="0"/>
        </w:rPr>
        <w:t>的约定进行计算和支付。</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792" w:name="_Toc302635838"/>
      <w:bookmarkStart w:id="793" w:name="_Toc19469"/>
      <w:bookmarkStart w:id="794" w:name="_Toc67418615"/>
      <w:r>
        <w:rPr>
          <w:rFonts w:hint="eastAsia" w:ascii="宋体" w:hAnsi="宋体" w:cs="宋体"/>
          <w:sz w:val="24"/>
          <w:szCs w:val="24"/>
          <w:lang w:val="en-US" w:eastAsia="zh-CN"/>
        </w:rPr>
        <w:t xml:space="preserve">20.5 </w:t>
      </w:r>
      <w:r>
        <w:rPr>
          <w:rFonts w:hint="eastAsia" w:ascii="宋体" w:hAnsi="宋体" w:eastAsia="宋体" w:cs="宋体"/>
          <w:sz w:val="24"/>
          <w:szCs w:val="24"/>
        </w:rPr>
        <w:t>材料调差</w:t>
      </w:r>
      <w:bookmarkEnd w:id="792"/>
      <w:r>
        <w:rPr>
          <w:rFonts w:hint="eastAsia" w:ascii="宋体" w:hAnsi="宋体" w:eastAsia="宋体" w:cs="宋体"/>
          <w:sz w:val="24"/>
          <w:szCs w:val="24"/>
        </w:rPr>
        <w:t>方法</w:t>
      </w:r>
      <w:bookmarkEnd w:id="793"/>
      <w:bookmarkEnd w:id="794"/>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按照20.4⑶、⑷款确定的可调差材料发生价格波动时，可在</w:t>
      </w:r>
      <w:r>
        <w:rPr>
          <w:rFonts w:hint="eastAsia" w:ascii="宋体" w:hAnsi="宋体" w:eastAsia="宋体" w:cs="宋体"/>
          <w:b/>
          <w:i/>
          <w:kern w:val="0"/>
        </w:rPr>
        <w:t>专用条款</w:t>
      </w:r>
      <w:r>
        <w:rPr>
          <w:rFonts w:hint="eastAsia" w:ascii="宋体" w:hAnsi="宋体" w:eastAsia="宋体" w:cs="宋体"/>
          <w:kern w:val="0"/>
        </w:rPr>
        <w:t>中约定一种调差方式：</w:t>
      </w:r>
    </w:p>
    <w:p>
      <w:pPr>
        <w:tabs>
          <w:tab w:val="left" w:pos="1620"/>
          <w:tab w:val="left" w:pos="2340"/>
        </w:tabs>
        <w:snapToGrid w:val="0"/>
        <w:ind w:firstLine="1050" w:firstLineChars="500"/>
        <w:rPr>
          <w:rFonts w:hint="eastAsia" w:ascii="宋体" w:hAnsi="宋体" w:eastAsia="宋体" w:cs="宋体"/>
        </w:rPr>
      </w:pPr>
      <w:r>
        <w:rPr>
          <w:rFonts w:hint="eastAsia" w:ascii="宋体" w:hAnsi="宋体" w:eastAsia="宋体" w:cs="宋体"/>
        </w:rPr>
        <w:t>当</w:t>
      </w:r>
      <w:r>
        <w:rPr>
          <w:rFonts w:hint="eastAsia" w:ascii="宋体" w:hAnsi="宋体" w:eastAsia="宋体" w:cs="宋体"/>
          <w:i/>
          <w:sz w:val="24"/>
        </w:rPr>
        <w:sym w:font="Symbol" w:char="F060"/>
      </w:r>
      <w:r>
        <w:rPr>
          <w:rFonts w:hint="eastAsia" w:ascii="宋体" w:hAnsi="宋体" w:eastAsia="宋体" w:cs="宋体"/>
          <w:i/>
          <w:sz w:val="24"/>
        </w:rPr>
        <w:t>P</w:t>
      </w:r>
      <w:r>
        <w:rPr>
          <w:rFonts w:hint="eastAsia" w:ascii="宋体" w:hAnsi="宋体" w:eastAsia="宋体" w:cs="宋体"/>
          <w:sz w:val="24"/>
        </w:rPr>
        <w:t>＞</w:t>
      </w:r>
      <w:r>
        <w:rPr>
          <w:rFonts w:hint="eastAsia" w:ascii="宋体" w:hAnsi="宋体" w:eastAsia="宋体" w:cs="宋体"/>
          <w:i/>
          <w:sz w:val="24"/>
        </w:rPr>
        <w:t>P</w:t>
      </w:r>
      <w:r>
        <w:rPr>
          <w:rFonts w:hint="eastAsia" w:ascii="宋体" w:hAnsi="宋体" w:eastAsia="宋体" w:cs="宋体"/>
          <w:i/>
          <w:sz w:val="24"/>
          <w:vertAlign w:val="subscript"/>
        </w:rPr>
        <w:t>0</w:t>
      </w:r>
      <w:r>
        <w:rPr>
          <w:rFonts w:hint="eastAsia" w:ascii="宋体" w:hAnsi="宋体" w:eastAsia="宋体" w:cs="宋体"/>
        </w:rPr>
        <w:t>时：</w:t>
      </w:r>
    </w:p>
    <w:p>
      <w:pPr>
        <w:tabs>
          <w:tab w:val="left" w:pos="1620"/>
          <w:tab w:val="left" w:pos="2340"/>
        </w:tabs>
        <w:snapToGrid w:val="0"/>
        <w:ind w:firstLine="1200" w:firstLineChars="500"/>
        <w:rPr>
          <w:rFonts w:hint="eastAsia" w:ascii="宋体" w:hAnsi="宋体" w:eastAsia="宋体" w:cs="宋体"/>
        </w:rPr>
      </w:pPr>
      <w:r>
        <w:rPr>
          <w:rFonts w:hint="eastAsia" w:ascii="宋体" w:hAnsi="宋体" w:eastAsia="宋体" w:cs="宋体"/>
          <w:sz w:val="24"/>
        </w:rPr>
        <w:t>①</w:t>
      </w:r>
      <w:r>
        <w:rPr>
          <w:rFonts w:hint="eastAsia" w:ascii="宋体" w:hAnsi="宋体" w:eastAsia="宋体" w:cs="宋体"/>
          <w:i/>
          <w:sz w:val="24"/>
        </w:rPr>
        <w:t>P</w:t>
      </w:r>
      <w:r>
        <w:rPr>
          <w:rFonts w:hint="eastAsia" w:ascii="宋体" w:hAnsi="宋体" w:eastAsia="宋体" w:cs="宋体"/>
          <w:i/>
          <w:sz w:val="24"/>
          <w:vertAlign w:val="subscript"/>
        </w:rPr>
        <w:t>t</w:t>
      </w:r>
      <w:r>
        <w:rPr>
          <w:rFonts w:hint="eastAsia" w:ascii="宋体" w:hAnsi="宋体" w:eastAsia="宋体" w:cs="宋体"/>
          <w:i/>
          <w:sz w:val="24"/>
        </w:rPr>
        <w:t>＜P</w:t>
      </w:r>
      <w:r>
        <w:rPr>
          <w:rFonts w:hint="eastAsia" w:ascii="宋体" w:hAnsi="宋体" w:eastAsia="宋体" w:cs="宋体"/>
          <w:i/>
          <w:sz w:val="24"/>
          <w:vertAlign w:val="subscript"/>
        </w:rPr>
        <w:t>0</w:t>
      </w:r>
      <w:r>
        <w:rPr>
          <w:rFonts w:hint="eastAsia" w:ascii="宋体" w:hAnsi="宋体" w:eastAsia="宋体" w:cs="宋体"/>
          <w:i/>
          <w:sz w:val="24"/>
        </w:rPr>
        <w:t>，</w:t>
      </w:r>
      <w:r>
        <w:rPr>
          <w:rFonts w:hint="eastAsia" w:ascii="宋体" w:hAnsi="宋体" w:eastAsia="宋体" w:cs="宋体"/>
        </w:rPr>
        <w:t>且</w:t>
      </w:r>
      <w:r>
        <w:rPr>
          <w:rFonts w:hint="eastAsia" w:ascii="宋体" w:hAnsi="宋体" w:eastAsia="宋体" w:cs="宋体"/>
          <w:i/>
          <w:sz w:val="24"/>
        </w:rPr>
        <w:sym w:font="Symbol" w:char="F060"/>
      </w:r>
      <w:r>
        <w:rPr>
          <w:rFonts w:hint="eastAsia" w:ascii="宋体" w:hAnsi="宋体" w:eastAsia="宋体" w:cs="宋体"/>
          <w:i/>
          <w:sz w:val="24"/>
        </w:rPr>
        <w:t xml:space="preserve">P </w:t>
      </w:r>
      <w:r>
        <w:rPr>
          <w:rFonts w:hint="eastAsia" w:ascii="宋体" w:hAnsi="宋体" w:eastAsia="宋体" w:cs="宋体"/>
          <w:sz w:val="24"/>
        </w:rPr>
        <w:t>/</w:t>
      </w:r>
      <w:r>
        <w:rPr>
          <w:rFonts w:hint="eastAsia" w:ascii="宋体" w:hAnsi="宋体" w:eastAsia="宋体" w:cs="宋体"/>
          <w:i/>
          <w:sz w:val="24"/>
        </w:rPr>
        <w:t>P</w:t>
      </w:r>
      <w:r>
        <w:rPr>
          <w:rFonts w:hint="eastAsia" w:ascii="宋体" w:hAnsi="宋体" w:eastAsia="宋体" w:cs="宋体"/>
          <w:i/>
          <w:sz w:val="24"/>
          <w:vertAlign w:val="subscript"/>
        </w:rPr>
        <w:t>0</w:t>
      </w:r>
      <w:r>
        <w:rPr>
          <w:rFonts w:hint="eastAsia" w:ascii="宋体" w:hAnsi="宋体" w:eastAsia="宋体" w:cs="宋体"/>
          <w:sz w:val="24"/>
        </w:rPr>
        <w:t>＞1.05</w:t>
      </w:r>
      <w:r>
        <w:rPr>
          <w:rFonts w:hint="eastAsia" w:ascii="宋体" w:hAnsi="宋体" w:eastAsia="宋体" w:cs="宋体"/>
        </w:rPr>
        <w:t>，则：</w:t>
      </w:r>
    </w:p>
    <w:p>
      <w:pPr>
        <w:tabs>
          <w:tab w:val="left" w:pos="1620"/>
          <w:tab w:val="left" w:pos="2340"/>
        </w:tabs>
        <w:snapToGrid w:val="0"/>
        <w:ind w:firstLine="1200" w:firstLineChars="500"/>
        <w:rPr>
          <w:rFonts w:hint="eastAsia" w:ascii="宋体" w:hAnsi="宋体" w:eastAsia="宋体" w:cs="宋体"/>
          <w:sz w:val="24"/>
        </w:rPr>
      </w:pPr>
      <w:r>
        <w:rPr>
          <w:rFonts w:hint="eastAsia" w:ascii="宋体" w:hAnsi="宋体" w:eastAsia="宋体" w:cs="宋体"/>
          <w:sz w:val="24"/>
        </w:rPr>
        <w:t>C</w:t>
      </w:r>
      <w:r>
        <w:rPr>
          <w:rFonts w:hint="eastAsia" w:ascii="宋体" w:hAnsi="宋体" w:eastAsia="宋体" w:cs="宋体"/>
          <w:sz w:val="24"/>
          <w:vertAlign w:val="subscript"/>
        </w:rPr>
        <w:t>增</w:t>
      </w:r>
      <w:r>
        <w:rPr>
          <w:rFonts w:hint="eastAsia" w:ascii="宋体" w:hAnsi="宋体" w:eastAsia="宋体" w:cs="宋体"/>
          <w:sz w:val="24"/>
        </w:rPr>
        <w:t>=</w:t>
      </w:r>
      <w:r>
        <w:rPr>
          <w:rFonts w:hint="eastAsia" w:ascii="宋体" w:hAnsi="宋体" w:eastAsia="宋体" w:cs="宋体"/>
          <w:i/>
          <w:sz w:val="24"/>
        </w:rPr>
        <w:t>Q</w:t>
      </w:r>
      <w:r>
        <w:rPr>
          <w:rFonts w:hint="eastAsia" w:ascii="宋体" w:hAnsi="宋体" w:eastAsia="宋体" w:cs="宋体"/>
          <w:sz w:val="24"/>
          <w:vertAlign w:val="subscript"/>
        </w:rPr>
        <w:t>总</w:t>
      </w:r>
      <w:r>
        <w:rPr>
          <w:rFonts w:hint="eastAsia" w:ascii="宋体" w:hAnsi="宋体" w:eastAsia="宋体" w:cs="宋体"/>
          <w:sz w:val="24"/>
        </w:rPr>
        <w:t>×</w:t>
      </w:r>
      <w:r>
        <w:rPr>
          <w:rFonts w:hint="eastAsia" w:ascii="宋体" w:hAnsi="宋体" w:eastAsia="宋体" w:cs="宋体"/>
          <w:i/>
          <w:sz w:val="24"/>
        </w:rPr>
        <w:t>P</w:t>
      </w:r>
      <w:r>
        <w:rPr>
          <w:rFonts w:hint="eastAsia" w:ascii="宋体" w:hAnsi="宋体" w:eastAsia="宋体" w:cs="宋体"/>
          <w:i/>
          <w:sz w:val="24"/>
          <w:vertAlign w:val="subscript"/>
        </w:rPr>
        <w:t>t</w:t>
      </w:r>
      <w:r>
        <w:rPr>
          <w:rFonts w:hint="eastAsia" w:ascii="宋体" w:hAnsi="宋体" w:eastAsia="宋体" w:cs="宋体"/>
          <w:sz w:val="24"/>
        </w:rPr>
        <w:t>×(</w:t>
      </w:r>
      <w:r>
        <w:rPr>
          <w:rFonts w:hint="eastAsia" w:ascii="宋体" w:hAnsi="宋体" w:eastAsia="宋体" w:cs="宋体"/>
          <w:i/>
          <w:sz w:val="24"/>
        </w:rPr>
        <w:sym w:font="Symbol" w:char="F060"/>
      </w:r>
      <w:r>
        <w:rPr>
          <w:rFonts w:hint="eastAsia" w:ascii="宋体" w:hAnsi="宋体" w:eastAsia="宋体" w:cs="宋体"/>
          <w:i/>
          <w:sz w:val="24"/>
        </w:rPr>
        <w:t xml:space="preserve">P </w:t>
      </w:r>
      <w:r>
        <w:rPr>
          <w:rFonts w:hint="eastAsia" w:ascii="宋体" w:hAnsi="宋体" w:eastAsia="宋体" w:cs="宋体"/>
          <w:sz w:val="24"/>
        </w:rPr>
        <w:t>/</w:t>
      </w:r>
      <w:r>
        <w:rPr>
          <w:rFonts w:hint="eastAsia" w:ascii="宋体" w:hAnsi="宋体" w:eastAsia="宋体" w:cs="宋体"/>
          <w:i/>
          <w:sz w:val="24"/>
        </w:rPr>
        <w:t>P</w:t>
      </w:r>
      <w:r>
        <w:rPr>
          <w:rFonts w:hint="eastAsia" w:ascii="宋体" w:hAnsi="宋体" w:eastAsia="宋体" w:cs="宋体"/>
          <w:i/>
          <w:sz w:val="24"/>
          <w:vertAlign w:val="subscript"/>
        </w:rPr>
        <w:t>0</w:t>
      </w:r>
      <w:r>
        <w:rPr>
          <w:rFonts w:hint="eastAsia" w:ascii="宋体" w:hAnsi="宋体" w:eastAsia="宋体" w:cs="宋体"/>
          <w:sz w:val="24"/>
        </w:rPr>
        <w:t>－1.05)</w:t>
      </w:r>
    </w:p>
    <w:p>
      <w:pPr>
        <w:tabs>
          <w:tab w:val="left" w:pos="1620"/>
          <w:tab w:val="left" w:pos="2340"/>
        </w:tabs>
        <w:snapToGrid w:val="0"/>
        <w:ind w:firstLine="1200" w:firstLineChars="500"/>
        <w:rPr>
          <w:rFonts w:hint="eastAsia" w:ascii="宋体" w:hAnsi="宋体" w:eastAsia="宋体" w:cs="宋体"/>
        </w:rPr>
      </w:pPr>
      <w:r>
        <w:rPr>
          <w:rFonts w:hint="eastAsia" w:ascii="宋体" w:hAnsi="宋体" w:eastAsia="宋体" w:cs="宋体"/>
          <w:sz w:val="24"/>
        </w:rPr>
        <w:t>②</w:t>
      </w:r>
      <w:r>
        <w:rPr>
          <w:rFonts w:hint="eastAsia" w:ascii="宋体" w:hAnsi="宋体" w:eastAsia="宋体" w:cs="宋体"/>
          <w:i/>
          <w:sz w:val="24"/>
        </w:rPr>
        <w:t>P</w:t>
      </w:r>
      <w:r>
        <w:rPr>
          <w:rFonts w:hint="eastAsia" w:ascii="宋体" w:hAnsi="宋体" w:eastAsia="宋体" w:cs="宋体"/>
          <w:i/>
          <w:sz w:val="24"/>
          <w:vertAlign w:val="subscript"/>
        </w:rPr>
        <w:t>t</w:t>
      </w:r>
      <w:r>
        <w:rPr>
          <w:rFonts w:hint="eastAsia" w:ascii="宋体" w:hAnsi="宋体" w:eastAsia="宋体" w:cs="宋体"/>
          <w:i/>
          <w:sz w:val="24"/>
        </w:rPr>
        <w:t>≥P</w:t>
      </w:r>
      <w:r>
        <w:rPr>
          <w:rFonts w:hint="eastAsia" w:ascii="宋体" w:hAnsi="宋体" w:eastAsia="宋体" w:cs="宋体"/>
          <w:i/>
          <w:sz w:val="24"/>
          <w:vertAlign w:val="subscript"/>
        </w:rPr>
        <w:t>0</w:t>
      </w:r>
      <w:r>
        <w:rPr>
          <w:rFonts w:hint="eastAsia" w:ascii="宋体" w:hAnsi="宋体" w:eastAsia="宋体" w:cs="宋体"/>
        </w:rPr>
        <w:t>，且</w:t>
      </w:r>
      <w:r>
        <w:rPr>
          <w:rFonts w:hint="eastAsia" w:ascii="宋体" w:hAnsi="宋体" w:eastAsia="宋体" w:cs="宋体"/>
          <w:i/>
          <w:sz w:val="24"/>
        </w:rPr>
        <w:sym w:font="Symbol" w:char="F060"/>
      </w:r>
      <w:r>
        <w:rPr>
          <w:rFonts w:hint="eastAsia" w:ascii="宋体" w:hAnsi="宋体" w:eastAsia="宋体" w:cs="宋体"/>
          <w:i/>
          <w:sz w:val="24"/>
        </w:rPr>
        <w:t xml:space="preserve">P </w:t>
      </w:r>
      <w:r>
        <w:rPr>
          <w:rFonts w:hint="eastAsia" w:ascii="宋体" w:hAnsi="宋体" w:eastAsia="宋体" w:cs="宋体"/>
          <w:sz w:val="24"/>
        </w:rPr>
        <w:t>/</w:t>
      </w:r>
      <w:r>
        <w:rPr>
          <w:rFonts w:hint="eastAsia" w:ascii="宋体" w:hAnsi="宋体" w:eastAsia="宋体" w:cs="宋体"/>
          <w:i/>
          <w:sz w:val="24"/>
        </w:rPr>
        <w:t>P</w:t>
      </w:r>
      <w:r>
        <w:rPr>
          <w:rFonts w:hint="eastAsia" w:ascii="宋体" w:hAnsi="宋体" w:eastAsia="宋体" w:cs="宋体"/>
          <w:i/>
          <w:sz w:val="24"/>
          <w:vertAlign w:val="subscript"/>
        </w:rPr>
        <w:t>t</w:t>
      </w:r>
      <w:r>
        <w:rPr>
          <w:rFonts w:hint="eastAsia" w:ascii="宋体" w:hAnsi="宋体" w:eastAsia="宋体" w:cs="宋体"/>
          <w:sz w:val="24"/>
        </w:rPr>
        <w:t>＞1.05</w:t>
      </w:r>
      <w:r>
        <w:rPr>
          <w:rFonts w:hint="eastAsia" w:ascii="宋体" w:hAnsi="宋体" w:eastAsia="宋体" w:cs="宋体"/>
        </w:rPr>
        <w:t>，则：</w:t>
      </w:r>
    </w:p>
    <w:p>
      <w:pPr>
        <w:tabs>
          <w:tab w:val="left" w:pos="1620"/>
          <w:tab w:val="left" w:pos="2340"/>
        </w:tabs>
        <w:snapToGrid w:val="0"/>
        <w:ind w:firstLine="1200" w:firstLineChars="500"/>
        <w:rPr>
          <w:rFonts w:hint="eastAsia" w:ascii="宋体" w:hAnsi="宋体" w:eastAsia="宋体" w:cs="宋体"/>
          <w:sz w:val="24"/>
        </w:rPr>
      </w:pPr>
      <w:r>
        <w:rPr>
          <w:rFonts w:hint="eastAsia" w:ascii="宋体" w:hAnsi="宋体" w:eastAsia="宋体" w:cs="宋体"/>
          <w:sz w:val="24"/>
        </w:rPr>
        <w:t>C</w:t>
      </w:r>
      <w:r>
        <w:rPr>
          <w:rFonts w:hint="eastAsia" w:ascii="宋体" w:hAnsi="宋体" w:eastAsia="宋体" w:cs="宋体"/>
          <w:sz w:val="24"/>
          <w:vertAlign w:val="subscript"/>
        </w:rPr>
        <w:t>增</w:t>
      </w:r>
      <w:r>
        <w:rPr>
          <w:rFonts w:hint="eastAsia" w:ascii="宋体" w:hAnsi="宋体" w:eastAsia="宋体" w:cs="宋体"/>
          <w:sz w:val="24"/>
        </w:rPr>
        <w:t>=Q</w:t>
      </w:r>
      <w:r>
        <w:rPr>
          <w:rFonts w:hint="eastAsia" w:ascii="宋体" w:hAnsi="宋体" w:eastAsia="宋体" w:cs="宋体"/>
          <w:sz w:val="24"/>
          <w:vertAlign w:val="subscript"/>
        </w:rPr>
        <w:t>总</w:t>
      </w:r>
      <w:r>
        <w:rPr>
          <w:rFonts w:hint="eastAsia" w:ascii="宋体" w:hAnsi="宋体" w:eastAsia="宋体" w:cs="宋体"/>
          <w:sz w:val="24"/>
        </w:rPr>
        <w:t>×</w:t>
      </w:r>
      <w:r>
        <w:rPr>
          <w:rFonts w:hint="eastAsia" w:ascii="宋体" w:hAnsi="宋体" w:eastAsia="宋体" w:cs="宋体"/>
          <w:i/>
          <w:sz w:val="24"/>
        </w:rPr>
        <w:t>P</w:t>
      </w:r>
      <w:r>
        <w:rPr>
          <w:rFonts w:hint="eastAsia" w:ascii="宋体" w:hAnsi="宋体" w:eastAsia="宋体" w:cs="宋体"/>
          <w:i/>
          <w:sz w:val="24"/>
          <w:vertAlign w:val="subscript"/>
        </w:rPr>
        <w:t>t</w:t>
      </w:r>
      <w:r>
        <w:rPr>
          <w:rFonts w:hint="eastAsia" w:ascii="宋体" w:hAnsi="宋体" w:eastAsia="宋体" w:cs="宋体"/>
          <w:sz w:val="24"/>
        </w:rPr>
        <w:t>×(</w:t>
      </w:r>
      <w:r>
        <w:rPr>
          <w:rFonts w:hint="eastAsia" w:ascii="宋体" w:hAnsi="宋体" w:eastAsia="宋体" w:cs="宋体"/>
          <w:i/>
          <w:sz w:val="24"/>
        </w:rPr>
        <w:sym w:font="Symbol" w:char="F060"/>
      </w:r>
      <w:r>
        <w:rPr>
          <w:rFonts w:hint="eastAsia" w:ascii="宋体" w:hAnsi="宋体" w:eastAsia="宋体" w:cs="宋体"/>
          <w:i/>
          <w:sz w:val="24"/>
        </w:rPr>
        <w:t xml:space="preserve">P </w:t>
      </w:r>
      <w:r>
        <w:rPr>
          <w:rFonts w:hint="eastAsia" w:ascii="宋体" w:hAnsi="宋体" w:eastAsia="宋体" w:cs="宋体"/>
          <w:sz w:val="24"/>
        </w:rPr>
        <w:t>/</w:t>
      </w:r>
      <w:r>
        <w:rPr>
          <w:rFonts w:hint="eastAsia" w:ascii="宋体" w:hAnsi="宋体" w:eastAsia="宋体" w:cs="宋体"/>
          <w:i/>
          <w:sz w:val="24"/>
        </w:rPr>
        <w:t>P</w:t>
      </w:r>
      <w:r>
        <w:rPr>
          <w:rFonts w:hint="eastAsia" w:ascii="宋体" w:hAnsi="宋体" w:eastAsia="宋体" w:cs="宋体"/>
          <w:i/>
          <w:sz w:val="24"/>
          <w:vertAlign w:val="subscript"/>
        </w:rPr>
        <w:t>t</w:t>
      </w:r>
      <w:r>
        <w:rPr>
          <w:rFonts w:hint="eastAsia" w:ascii="宋体" w:hAnsi="宋体" w:eastAsia="宋体" w:cs="宋体"/>
          <w:sz w:val="24"/>
        </w:rPr>
        <w:t>－1.05)</w:t>
      </w:r>
    </w:p>
    <w:p>
      <w:pPr>
        <w:tabs>
          <w:tab w:val="left" w:pos="1620"/>
          <w:tab w:val="left" w:pos="2340"/>
        </w:tabs>
        <w:snapToGrid w:val="0"/>
        <w:spacing w:before="156"/>
        <w:ind w:firstLine="1050" w:firstLineChars="500"/>
        <w:rPr>
          <w:rFonts w:hint="eastAsia" w:ascii="宋体" w:hAnsi="宋体" w:eastAsia="宋体" w:cs="宋体"/>
        </w:rPr>
      </w:pPr>
      <w:r>
        <w:rPr>
          <w:rFonts w:hint="eastAsia" w:ascii="宋体" w:hAnsi="宋体" w:eastAsia="宋体" w:cs="宋体"/>
        </w:rPr>
        <w:t>当</w:t>
      </w:r>
      <w:r>
        <w:rPr>
          <w:rFonts w:hint="eastAsia" w:ascii="宋体" w:hAnsi="宋体" w:eastAsia="宋体" w:cs="宋体"/>
          <w:i/>
          <w:sz w:val="24"/>
        </w:rPr>
        <w:sym w:font="Symbol" w:char="F060"/>
      </w:r>
      <w:r>
        <w:rPr>
          <w:rFonts w:hint="eastAsia" w:ascii="宋体" w:hAnsi="宋体" w:eastAsia="宋体" w:cs="宋体"/>
          <w:i/>
          <w:sz w:val="24"/>
        </w:rPr>
        <w:t>P＜P</w:t>
      </w:r>
      <w:r>
        <w:rPr>
          <w:rFonts w:hint="eastAsia" w:ascii="宋体" w:hAnsi="宋体" w:eastAsia="宋体" w:cs="宋体"/>
          <w:i/>
          <w:sz w:val="24"/>
          <w:vertAlign w:val="subscript"/>
        </w:rPr>
        <w:t>0</w:t>
      </w:r>
      <w:r>
        <w:rPr>
          <w:rFonts w:hint="eastAsia" w:ascii="宋体" w:hAnsi="宋体" w:eastAsia="宋体" w:cs="宋体"/>
        </w:rPr>
        <w:t>时：</w:t>
      </w:r>
    </w:p>
    <w:p>
      <w:pPr>
        <w:tabs>
          <w:tab w:val="left" w:pos="1620"/>
          <w:tab w:val="left" w:pos="2340"/>
        </w:tabs>
        <w:snapToGrid w:val="0"/>
        <w:ind w:firstLine="1200" w:firstLineChars="500"/>
        <w:rPr>
          <w:rFonts w:hint="eastAsia" w:ascii="宋体" w:hAnsi="宋体" w:eastAsia="宋体" w:cs="宋体"/>
        </w:rPr>
      </w:pPr>
      <w:r>
        <w:rPr>
          <w:rFonts w:hint="eastAsia" w:ascii="宋体" w:hAnsi="宋体" w:eastAsia="宋体" w:cs="宋体"/>
          <w:sz w:val="24"/>
        </w:rPr>
        <w:t>①</w:t>
      </w:r>
      <w:r>
        <w:rPr>
          <w:rFonts w:hint="eastAsia" w:ascii="宋体" w:hAnsi="宋体" w:eastAsia="宋体" w:cs="宋体"/>
          <w:i/>
          <w:sz w:val="24"/>
        </w:rPr>
        <w:t>P</w:t>
      </w:r>
      <w:r>
        <w:rPr>
          <w:rFonts w:hint="eastAsia" w:ascii="宋体" w:hAnsi="宋体" w:eastAsia="宋体" w:cs="宋体"/>
          <w:i/>
          <w:sz w:val="24"/>
          <w:vertAlign w:val="subscript"/>
        </w:rPr>
        <w:t>t</w:t>
      </w:r>
      <w:r>
        <w:rPr>
          <w:rFonts w:hint="eastAsia" w:ascii="宋体" w:hAnsi="宋体" w:eastAsia="宋体" w:cs="宋体"/>
          <w:i/>
          <w:sz w:val="24"/>
        </w:rPr>
        <w:t>＜P</w:t>
      </w:r>
      <w:r>
        <w:rPr>
          <w:rFonts w:hint="eastAsia" w:ascii="宋体" w:hAnsi="宋体" w:eastAsia="宋体" w:cs="宋体"/>
          <w:i/>
          <w:sz w:val="24"/>
          <w:vertAlign w:val="subscript"/>
        </w:rPr>
        <w:t>0</w:t>
      </w:r>
      <w:r>
        <w:rPr>
          <w:rFonts w:hint="eastAsia" w:ascii="宋体" w:hAnsi="宋体" w:eastAsia="宋体" w:cs="宋体"/>
        </w:rPr>
        <w:t>，且</w:t>
      </w:r>
      <w:r>
        <w:rPr>
          <w:rFonts w:hint="eastAsia" w:ascii="宋体" w:hAnsi="宋体" w:eastAsia="宋体" w:cs="宋体"/>
          <w:i/>
          <w:sz w:val="24"/>
        </w:rPr>
        <w:sym w:font="Symbol" w:char="F060"/>
      </w:r>
      <w:r>
        <w:rPr>
          <w:rFonts w:hint="eastAsia" w:ascii="宋体" w:hAnsi="宋体" w:eastAsia="宋体" w:cs="宋体"/>
          <w:i/>
          <w:sz w:val="24"/>
        </w:rPr>
        <w:t xml:space="preserve">P </w:t>
      </w:r>
      <w:r>
        <w:rPr>
          <w:rFonts w:hint="eastAsia" w:ascii="宋体" w:hAnsi="宋体" w:eastAsia="宋体" w:cs="宋体"/>
          <w:sz w:val="24"/>
        </w:rPr>
        <w:t>/</w:t>
      </w:r>
      <w:r>
        <w:rPr>
          <w:rFonts w:hint="eastAsia" w:ascii="宋体" w:hAnsi="宋体" w:eastAsia="宋体" w:cs="宋体"/>
          <w:i/>
          <w:sz w:val="24"/>
        </w:rPr>
        <w:t>P</w:t>
      </w:r>
      <w:r>
        <w:rPr>
          <w:rFonts w:hint="eastAsia" w:ascii="宋体" w:hAnsi="宋体" w:eastAsia="宋体" w:cs="宋体"/>
          <w:i/>
          <w:sz w:val="24"/>
          <w:vertAlign w:val="subscript"/>
        </w:rPr>
        <w:t>t</w:t>
      </w:r>
      <w:r>
        <w:rPr>
          <w:rFonts w:hint="eastAsia" w:ascii="宋体" w:hAnsi="宋体" w:eastAsia="宋体" w:cs="宋体"/>
          <w:sz w:val="24"/>
        </w:rPr>
        <w:t>＜0.95</w:t>
      </w:r>
      <w:r>
        <w:rPr>
          <w:rFonts w:hint="eastAsia" w:ascii="宋体" w:hAnsi="宋体" w:eastAsia="宋体" w:cs="宋体"/>
        </w:rPr>
        <w:t>，则：</w:t>
      </w:r>
    </w:p>
    <w:p>
      <w:pPr>
        <w:tabs>
          <w:tab w:val="left" w:pos="1620"/>
          <w:tab w:val="left" w:pos="2340"/>
        </w:tabs>
        <w:snapToGrid w:val="0"/>
        <w:ind w:firstLine="1200" w:firstLineChars="500"/>
        <w:rPr>
          <w:rFonts w:hint="eastAsia" w:ascii="宋体" w:hAnsi="宋体" w:eastAsia="宋体" w:cs="宋体"/>
          <w:sz w:val="24"/>
        </w:rPr>
      </w:pPr>
      <w:r>
        <w:rPr>
          <w:rFonts w:hint="eastAsia" w:ascii="宋体" w:hAnsi="宋体" w:eastAsia="宋体" w:cs="宋体"/>
          <w:sz w:val="24"/>
        </w:rPr>
        <w:t>C</w:t>
      </w:r>
      <w:r>
        <w:rPr>
          <w:rFonts w:hint="eastAsia" w:ascii="宋体" w:hAnsi="宋体" w:eastAsia="宋体" w:cs="宋体"/>
          <w:sz w:val="24"/>
          <w:vertAlign w:val="subscript"/>
        </w:rPr>
        <w:t>减</w:t>
      </w:r>
      <w:r>
        <w:rPr>
          <w:rFonts w:hint="eastAsia" w:ascii="宋体" w:hAnsi="宋体" w:eastAsia="宋体" w:cs="宋体"/>
          <w:sz w:val="24"/>
        </w:rPr>
        <w:t>=</w:t>
      </w:r>
      <w:r>
        <w:rPr>
          <w:rFonts w:hint="eastAsia" w:ascii="宋体" w:hAnsi="宋体" w:eastAsia="宋体" w:cs="宋体"/>
          <w:i/>
          <w:sz w:val="24"/>
        </w:rPr>
        <w:t>Q</w:t>
      </w:r>
      <w:r>
        <w:rPr>
          <w:rFonts w:hint="eastAsia" w:ascii="宋体" w:hAnsi="宋体" w:eastAsia="宋体" w:cs="宋体"/>
          <w:sz w:val="24"/>
          <w:vertAlign w:val="subscript"/>
        </w:rPr>
        <w:t>总</w:t>
      </w:r>
      <w:r>
        <w:rPr>
          <w:rFonts w:hint="eastAsia" w:ascii="宋体" w:hAnsi="宋体" w:eastAsia="宋体" w:cs="宋体"/>
          <w:sz w:val="24"/>
        </w:rPr>
        <w:t>×</w:t>
      </w:r>
      <w:r>
        <w:rPr>
          <w:rFonts w:hint="eastAsia" w:ascii="宋体" w:hAnsi="宋体" w:eastAsia="宋体" w:cs="宋体"/>
          <w:i/>
          <w:sz w:val="24"/>
        </w:rPr>
        <w:t>P</w:t>
      </w:r>
      <w:r>
        <w:rPr>
          <w:rFonts w:hint="eastAsia" w:ascii="宋体" w:hAnsi="宋体" w:eastAsia="宋体" w:cs="宋体"/>
          <w:i/>
          <w:sz w:val="24"/>
          <w:vertAlign w:val="subscript"/>
        </w:rPr>
        <w:t>t</w:t>
      </w:r>
      <w:r>
        <w:rPr>
          <w:rFonts w:hint="eastAsia" w:ascii="宋体" w:hAnsi="宋体" w:eastAsia="宋体" w:cs="宋体"/>
          <w:sz w:val="24"/>
        </w:rPr>
        <w:t>×(0.95－</w:t>
      </w:r>
      <w:r>
        <w:rPr>
          <w:rFonts w:hint="eastAsia" w:ascii="宋体" w:hAnsi="宋体" w:eastAsia="宋体" w:cs="宋体"/>
          <w:i/>
          <w:sz w:val="24"/>
        </w:rPr>
        <w:sym w:font="Symbol" w:char="F060"/>
      </w:r>
      <w:r>
        <w:rPr>
          <w:rFonts w:hint="eastAsia" w:ascii="宋体" w:hAnsi="宋体" w:eastAsia="宋体" w:cs="宋体"/>
          <w:i/>
          <w:sz w:val="24"/>
        </w:rPr>
        <w:t xml:space="preserve">P </w:t>
      </w:r>
      <w:r>
        <w:rPr>
          <w:rFonts w:hint="eastAsia" w:ascii="宋体" w:hAnsi="宋体" w:eastAsia="宋体" w:cs="宋体"/>
          <w:sz w:val="24"/>
        </w:rPr>
        <w:t>/</w:t>
      </w:r>
      <w:r>
        <w:rPr>
          <w:rFonts w:hint="eastAsia" w:ascii="宋体" w:hAnsi="宋体" w:eastAsia="宋体" w:cs="宋体"/>
          <w:i/>
          <w:sz w:val="24"/>
        </w:rPr>
        <w:t>P</w:t>
      </w:r>
      <w:r>
        <w:rPr>
          <w:rFonts w:hint="eastAsia" w:ascii="宋体" w:hAnsi="宋体" w:eastAsia="宋体" w:cs="宋体"/>
          <w:i/>
          <w:sz w:val="24"/>
          <w:vertAlign w:val="subscript"/>
        </w:rPr>
        <w:t>t</w:t>
      </w:r>
      <w:r>
        <w:rPr>
          <w:rFonts w:hint="eastAsia" w:ascii="宋体" w:hAnsi="宋体" w:eastAsia="宋体" w:cs="宋体"/>
          <w:sz w:val="24"/>
        </w:rPr>
        <w:t>)</w:t>
      </w:r>
    </w:p>
    <w:p>
      <w:pPr>
        <w:tabs>
          <w:tab w:val="left" w:pos="1620"/>
          <w:tab w:val="left" w:pos="2340"/>
        </w:tabs>
        <w:snapToGrid w:val="0"/>
        <w:ind w:firstLine="1200" w:firstLineChars="500"/>
        <w:rPr>
          <w:rFonts w:hint="eastAsia" w:ascii="宋体" w:hAnsi="宋体" w:eastAsia="宋体" w:cs="宋体"/>
        </w:rPr>
      </w:pPr>
      <w:r>
        <w:rPr>
          <w:rFonts w:hint="eastAsia" w:ascii="宋体" w:hAnsi="宋体" w:eastAsia="宋体" w:cs="宋体"/>
          <w:sz w:val="24"/>
        </w:rPr>
        <w:t>②</w:t>
      </w:r>
      <w:r>
        <w:rPr>
          <w:rFonts w:hint="eastAsia" w:ascii="宋体" w:hAnsi="宋体" w:eastAsia="宋体" w:cs="宋体"/>
          <w:i/>
          <w:sz w:val="24"/>
        </w:rPr>
        <w:t>P</w:t>
      </w:r>
      <w:r>
        <w:rPr>
          <w:rFonts w:hint="eastAsia" w:ascii="宋体" w:hAnsi="宋体" w:eastAsia="宋体" w:cs="宋体"/>
          <w:i/>
          <w:sz w:val="24"/>
          <w:vertAlign w:val="subscript"/>
        </w:rPr>
        <w:t>t</w:t>
      </w:r>
      <w:r>
        <w:rPr>
          <w:rFonts w:hint="eastAsia" w:ascii="宋体" w:hAnsi="宋体" w:eastAsia="宋体" w:cs="宋体"/>
          <w:sz w:val="24"/>
        </w:rPr>
        <w:t>≥</w:t>
      </w:r>
      <w:r>
        <w:rPr>
          <w:rFonts w:hint="eastAsia" w:ascii="宋体" w:hAnsi="宋体" w:eastAsia="宋体" w:cs="宋体"/>
          <w:i/>
          <w:sz w:val="24"/>
        </w:rPr>
        <w:t>P</w:t>
      </w:r>
      <w:r>
        <w:rPr>
          <w:rFonts w:hint="eastAsia" w:ascii="宋体" w:hAnsi="宋体" w:eastAsia="宋体" w:cs="宋体"/>
          <w:i/>
          <w:sz w:val="24"/>
          <w:vertAlign w:val="subscript"/>
        </w:rPr>
        <w:t>0</w:t>
      </w:r>
      <w:r>
        <w:rPr>
          <w:rFonts w:hint="eastAsia" w:ascii="宋体" w:hAnsi="宋体" w:eastAsia="宋体" w:cs="宋体"/>
        </w:rPr>
        <w:t>，且</w:t>
      </w:r>
      <w:r>
        <w:rPr>
          <w:rFonts w:hint="eastAsia" w:ascii="宋体" w:hAnsi="宋体" w:eastAsia="宋体" w:cs="宋体"/>
          <w:i/>
          <w:sz w:val="24"/>
        </w:rPr>
        <w:sym w:font="Symbol" w:char="F060"/>
      </w:r>
      <w:r>
        <w:rPr>
          <w:rFonts w:hint="eastAsia" w:ascii="宋体" w:hAnsi="宋体" w:eastAsia="宋体" w:cs="宋体"/>
          <w:i/>
          <w:sz w:val="24"/>
        </w:rPr>
        <w:t>P</w:t>
      </w:r>
      <w:r>
        <w:rPr>
          <w:rFonts w:hint="eastAsia" w:ascii="宋体" w:hAnsi="宋体" w:eastAsia="宋体" w:cs="宋体"/>
        </w:rPr>
        <w:t xml:space="preserve"> </w:t>
      </w:r>
      <w:r>
        <w:rPr>
          <w:rFonts w:hint="eastAsia" w:ascii="宋体" w:hAnsi="宋体" w:eastAsia="宋体" w:cs="宋体"/>
          <w:sz w:val="24"/>
        </w:rPr>
        <w:t>/</w:t>
      </w:r>
      <w:r>
        <w:rPr>
          <w:rFonts w:hint="eastAsia" w:ascii="宋体" w:hAnsi="宋体" w:eastAsia="宋体" w:cs="宋体"/>
          <w:i/>
          <w:sz w:val="24"/>
        </w:rPr>
        <w:t>P</w:t>
      </w:r>
      <w:r>
        <w:rPr>
          <w:rFonts w:hint="eastAsia" w:ascii="宋体" w:hAnsi="宋体" w:eastAsia="宋体" w:cs="宋体"/>
          <w:i/>
          <w:sz w:val="24"/>
          <w:vertAlign w:val="subscript"/>
        </w:rPr>
        <w:t>0</w:t>
      </w:r>
      <w:r>
        <w:rPr>
          <w:rFonts w:hint="eastAsia" w:ascii="宋体" w:hAnsi="宋体" w:eastAsia="宋体" w:cs="宋体"/>
          <w:sz w:val="24"/>
        </w:rPr>
        <w:t>＜0.95</w:t>
      </w:r>
      <w:r>
        <w:rPr>
          <w:rFonts w:hint="eastAsia" w:ascii="宋体" w:hAnsi="宋体" w:eastAsia="宋体" w:cs="宋体"/>
        </w:rPr>
        <w:t>，则：</w:t>
      </w:r>
    </w:p>
    <w:p>
      <w:pPr>
        <w:tabs>
          <w:tab w:val="left" w:pos="1620"/>
          <w:tab w:val="left" w:pos="2340"/>
        </w:tabs>
        <w:snapToGrid w:val="0"/>
        <w:ind w:firstLine="1200" w:firstLineChars="500"/>
        <w:rPr>
          <w:rFonts w:hint="eastAsia" w:ascii="宋体" w:hAnsi="宋体" w:eastAsia="宋体" w:cs="宋体"/>
          <w:sz w:val="24"/>
        </w:rPr>
      </w:pPr>
      <w:r>
        <w:rPr>
          <w:rFonts w:hint="eastAsia" w:ascii="宋体" w:hAnsi="宋体" w:eastAsia="宋体" w:cs="宋体"/>
          <w:sz w:val="24"/>
        </w:rPr>
        <w:t>C</w:t>
      </w:r>
      <w:r>
        <w:rPr>
          <w:rFonts w:hint="eastAsia" w:ascii="宋体" w:hAnsi="宋体" w:eastAsia="宋体" w:cs="宋体"/>
          <w:sz w:val="24"/>
          <w:vertAlign w:val="subscript"/>
        </w:rPr>
        <w:t>减</w:t>
      </w:r>
      <w:r>
        <w:rPr>
          <w:rFonts w:hint="eastAsia" w:ascii="宋体" w:hAnsi="宋体" w:eastAsia="宋体" w:cs="宋体"/>
          <w:sz w:val="24"/>
        </w:rPr>
        <w:t>=</w:t>
      </w:r>
      <w:r>
        <w:rPr>
          <w:rFonts w:hint="eastAsia" w:ascii="宋体" w:hAnsi="宋体" w:eastAsia="宋体" w:cs="宋体"/>
          <w:i/>
          <w:sz w:val="24"/>
        </w:rPr>
        <w:t>Q</w:t>
      </w:r>
      <w:r>
        <w:rPr>
          <w:rFonts w:hint="eastAsia" w:ascii="宋体" w:hAnsi="宋体" w:eastAsia="宋体" w:cs="宋体"/>
          <w:sz w:val="24"/>
          <w:vertAlign w:val="subscript"/>
        </w:rPr>
        <w:t>总</w:t>
      </w:r>
      <w:r>
        <w:rPr>
          <w:rFonts w:hint="eastAsia" w:ascii="宋体" w:hAnsi="宋体" w:eastAsia="宋体" w:cs="宋体"/>
          <w:sz w:val="24"/>
        </w:rPr>
        <w:t>×</w:t>
      </w:r>
      <w:r>
        <w:rPr>
          <w:rFonts w:hint="eastAsia" w:ascii="宋体" w:hAnsi="宋体" w:eastAsia="宋体" w:cs="宋体"/>
          <w:i/>
          <w:sz w:val="24"/>
        </w:rPr>
        <w:t>P</w:t>
      </w:r>
      <w:r>
        <w:rPr>
          <w:rFonts w:hint="eastAsia" w:ascii="宋体" w:hAnsi="宋体" w:eastAsia="宋体" w:cs="宋体"/>
          <w:i/>
          <w:sz w:val="24"/>
          <w:vertAlign w:val="subscript"/>
        </w:rPr>
        <w:t>t</w:t>
      </w:r>
      <w:r>
        <w:rPr>
          <w:rFonts w:hint="eastAsia" w:ascii="宋体" w:hAnsi="宋体" w:eastAsia="宋体" w:cs="宋体"/>
          <w:sz w:val="24"/>
        </w:rPr>
        <w:t>×(0.95－</w:t>
      </w:r>
      <w:r>
        <w:rPr>
          <w:rFonts w:hint="eastAsia" w:ascii="宋体" w:hAnsi="宋体" w:eastAsia="宋体" w:cs="宋体"/>
          <w:i/>
          <w:sz w:val="24"/>
        </w:rPr>
        <w:sym w:font="Symbol" w:char="F060"/>
      </w:r>
      <w:r>
        <w:rPr>
          <w:rFonts w:hint="eastAsia" w:ascii="宋体" w:hAnsi="宋体" w:eastAsia="宋体" w:cs="宋体"/>
          <w:i/>
          <w:sz w:val="24"/>
        </w:rPr>
        <w:t xml:space="preserve">P </w:t>
      </w:r>
      <w:r>
        <w:rPr>
          <w:rFonts w:hint="eastAsia" w:ascii="宋体" w:hAnsi="宋体" w:eastAsia="宋体" w:cs="宋体"/>
          <w:sz w:val="24"/>
        </w:rPr>
        <w:t>/</w:t>
      </w:r>
      <w:r>
        <w:rPr>
          <w:rFonts w:hint="eastAsia" w:ascii="宋体" w:hAnsi="宋体" w:eastAsia="宋体" w:cs="宋体"/>
          <w:i/>
          <w:sz w:val="24"/>
        </w:rPr>
        <w:t>P</w:t>
      </w:r>
      <w:r>
        <w:rPr>
          <w:rFonts w:hint="eastAsia" w:ascii="宋体" w:hAnsi="宋体" w:eastAsia="宋体" w:cs="宋体"/>
          <w:i/>
          <w:sz w:val="24"/>
          <w:vertAlign w:val="subscript"/>
        </w:rPr>
        <w:t>0</w:t>
      </w:r>
      <w:r>
        <w:rPr>
          <w:rFonts w:hint="eastAsia" w:ascii="宋体" w:hAnsi="宋体" w:eastAsia="宋体" w:cs="宋体"/>
          <w:sz w:val="24"/>
        </w:rPr>
        <w:t>)</w:t>
      </w:r>
    </w:p>
    <w:p>
      <w:pPr>
        <w:tabs>
          <w:tab w:val="left" w:pos="1620"/>
          <w:tab w:val="left" w:pos="2340"/>
        </w:tabs>
        <w:spacing w:before="156"/>
        <w:ind w:left="1260"/>
        <w:rPr>
          <w:rFonts w:hint="eastAsia" w:ascii="宋体" w:hAnsi="宋体" w:eastAsia="宋体" w:cs="宋体"/>
        </w:rPr>
      </w:pPr>
      <w:r>
        <w:rPr>
          <w:rFonts w:hint="eastAsia" w:ascii="宋体" w:hAnsi="宋体" w:eastAsia="宋体" w:cs="宋体"/>
        </w:rPr>
        <w:t>式中：</w:t>
      </w:r>
    </w:p>
    <w:p>
      <w:pPr>
        <w:tabs>
          <w:tab w:val="left" w:pos="1620"/>
          <w:tab w:val="left" w:pos="2340"/>
        </w:tabs>
        <w:snapToGrid w:val="0"/>
        <w:ind w:left="1440"/>
        <w:rPr>
          <w:rFonts w:hint="eastAsia" w:ascii="宋体" w:hAnsi="宋体" w:eastAsia="宋体" w:cs="宋体"/>
        </w:rPr>
      </w:pPr>
      <w:r>
        <w:rPr>
          <w:rFonts w:hint="eastAsia" w:ascii="宋体" w:hAnsi="宋体" w:eastAsia="宋体" w:cs="宋体"/>
          <w:sz w:val="24"/>
        </w:rPr>
        <w:t>P</w:t>
      </w:r>
      <w:r>
        <w:rPr>
          <w:rFonts w:hint="eastAsia" w:ascii="宋体" w:hAnsi="宋体" w:eastAsia="宋体" w:cs="宋体"/>
          <w:sz w:val="24"/>
          <w:vertAlign w:val="subscript"/>
        </w:rPr>
        <w:t>0</w:t>
      </w:r>
      <w:r>
        <w:rPr>
          <w:rFonts w:hint="eastAsia" w:ascii="宋体" w:hAnsi="宋体" w:eastAsia="宋体" w:cs="宋体"/>
        </w:rPr>
        <w:t>－投标截止日期前35天的当月或</w:t>
      </w:r>
      <w:r>
        <w:rPr>
          <w:rFonts w:hint="eastAsia" w:ascii="宋体" w:hAnsi="宋体" w:eastAsia="宋体" w:cs="宋体"/>
          <w:b/>
          <w:i/>
        </w:rPr>
        <w:t>专用条款</w:t>
      </w:r>
      <w:r>
        <w:rPr>
          <w:rFonts w:hint="eastAsia" w:ascii="宋体" w:hAnsi="宋体" w:eastAsia="宋体" w:cs="宋体"/>
        </w:rPr>
        <w:t>约定月份《深圳建设工程价格信息》某材料价格。示例：投标截止日期如果是2018年5月5日，前35天为3月31日，则</w:t>
      </w:r>
      <w:r>
        <w:rPr>
          <w:rFonts w:hint="eastAsia" w:ascii="宋体" w:hAnsi="宋体" w:eastAsia="宋体" w:cs="宋体"/>
          <w:sz w:val="24"/>
        </w:rPr>
        <w:t>P</w:t>
      </w:r>
      <w:r>
        <w:rPr>
          <w:rFonts w:hint="eastAsia" w:ascii="宋体" w:hAnsi="宋体" w:eastAsia="宋体" w:cs="宋体"/>
          <w:sz w:val="24"/>
          <w:vertAlign w:val="subscript"/>
        </w:rPr>
        <w:t>0</w:t>
      </w:r>
      <w:r>
        <w:rPr>
          <w:rFonts w:hint="eastAsia" w:ascii="宋体" w:hAnsi="宋体" w:eastAsia="宋体" w:cs="宋体"/>
        </w:rPr>
        <w:t>对应的信息价是指2018年3月《深圳建设工程价格信息》。投标截止日期如果是2018年5月6日，前35天为4月1日，则</w:t>
      </w:r>
      <w:r>
        <w:rPr>
          <w:rFonts w:hint="eastAsia" w:ascii="宋体" w:hAnsi="宋体" w:eastAsia="宋体" w:cs="宋体"/>
          <w:sz w:val="24"/>
        </w:rPr>
        <w:t>P</w:t>
      </w:r>
      <w:r>
        <w:rPr>
          <w:rFonts w:hint="eastAsia" w:ascii="宋体" w:hAnsi="宋体" w:eastAsia="宋体" w:cs="宋体"/>
          <w:sz w:val="24"/>
          <w:vertAlign w:val="subscript"/>
        </w:rPr>
        <w:t>0</w:t>
      </w:r>
      <w:r>
        <w:rPr>
          <w:rFonts w:hint="eastAsia" w:ascii="宋体" w:hAnsi="宋体" w:eastAsia="宋体" w:cs="宋体"/>
        </w:rPr>
        <w:t>对应的信息价是指2018年4月《深圳建设工程价格信息》。</w:t>
      </w:r>
    </w:p>
    <w:p>
      <w:pPr>
        <w:tabs>
          <w:tab w:val="left" w:pos="1620"/>
          <w:tab w:val="left" w:pos="2340"/>
        </w:tabs>
        <w:snapToGrid w:val="0"/>
        <w:ind w:left="1440"/>
        <w:rPr>
          <w:rFonts w:hint="eastAsia" w:ascii="宋体" w:hAnsi="宋体" w:eastAsia="宋体" w:cs="宋体"/>
        </w:rPr>
      </w:pPr>
      <w:r>
        <w:rPr>
          <w:rFonts w:hint="eastAsia" w:ascii="宋体" w:hAnsi="宋体" w:eastAsia="宋体" w:cs="宋体"/>
          <w:sz w:val="24"/>
        </w:rPr>
        <w:t>P</w:t>
      </w:r>
      <w:r>
        <w:rPr>
          <w:rFonts w:hint="eastAsia" w:ascii="宋体" w:hAnsi="宋体" w:eastAsia="宋体" w:cs="宋体"/>
          <w:sz w:val="24"/>
          <w:vertAlign w:val="subscript"/>
        </w:rPr>
        <w:t>t</w:t>
      </w:r>
      <w:r>
        <w:rPr>
          <w:rFonts w:hint="eastAsia" w:ascii="宋体" w:hAnsi="宋体" w:eastAsia="宋体" w:cs="宋体"/>
        </w:rPr>
        <w:t>－承包人投标文件商务标书中某材料的投标单价，如投标报价中无法确认某材料的单价时，则P</w:t>
      </w:r>
      <w:r>
        <w:rPr>
          <w:rFonts w:hint="eastAsia" w:ascii="宋体" w:hAnsi="宋体" w:eastAsia="宋体" w:cs="宋体"/>
          <w:vertAlign w:val="subscript"/>
        </w:rPr>
        <w:t>t</w:t>
      </w:r>
      <w:r>
        <w:rPr>
          <w:rFonts w:hint="eastAsia" w:ascii="宋体" w:hAnsi="宋体" w:eastAsia="宋体" w:cs="宋体"/>
        </w:rPr>
        <w:t>取值为P</w:t>
      </w:r>
      <w:r>
        <w:rPr>
          <w:rFonts w:hint="eastAsia" w:ascii="宋体" w:hAnsi="宋体" w:eastAsia="宋体" w:cs="宋体"/>
          <w:vertAlign w:val="subscript"/>
        </w:rPr>
        <w:t>0</w:t>
      </w:r>
      <w:r>
        <w:rPr>
          <w:rFonts w:hint="eastAsia" w:ascii="宋体" w:hAnsi="宋体" w:eastAsia="宋体" w:cs="宋体"/>
          <w:sz w:val="24"/>
        </w:rPr>
        <w:t>×</w:t>
      </w:r>
      <w:r>
        <w:rPr>
          <w:rFonts w:hint="eastAsia" w:ascii="宋体" w:hAnsi="宋体" w:eastAsia="宋体" w:cs="宋体"/>
        </w:rPr>
        <w:t>（1-中标净下浮率）；</w:t>
      </w:r>
    </w:p>
    <w:p>
      <w:pPr>
        <w:tabs>
          <w:tab w:val="left" w:pos="1620"/>
          <w:tab w:val="left" w:pos="2340"/>
        </w:tabs>
        <w:snapToGrid w:val="0"/>
        <w:ind w:left="1440"/>
        <w:rPr>
          <w:rFonts w:hint="eastAsia" w:ascii="宋体" w:hAnsi="宋体" w:eastAsia="宋体" w:cs="宋体"/>
        </w:rPr>
      </w:pPr>
      <w:r>
        <w:rPr>
          <w:rFonts w:hint="eastAsia" w:ascii="宋体" w:hAnsi="宋体" w:eastAsia="宋体" w:cs="宋体"/>
          <w:sz w:val="24"/>
        </w:rPr>
        <w:t>C</w:t>
      </w:r>
      <w:r>
        <w:rPr>
          <w:rFonts w:hint="eastAsia" w:ascii="宋体" w:hAnsi="宋体" w:eastAsia="宋体" w:cs="宋体"/>
          <w:sz w:val="24"/>
          <w:vertAlign w:val="subscript"/>
        </w:rPr>
        <w:t>增</w:t>
      </w:r>
      <w:r>
        <w:rPr>
          <w:rFonts w:hint="eastAsia" w:ascii="宋体" w:hAnsi="宋体" w:eastAsia="宋体" w:cs="宋体"/>
        </w:rPr>
        <w:t>－调增合同价格；</w:t>
      </w:r>
    </w:p>
    <w:p>
      <w:pPr>
        <w:tabs>
          <w:tab w:val="left" w:pos="1620"/>
          <w:tab w:val="left" w:pos="2340"/>
        </w:tabs>
        <w:snapToGrid w:val="0"/>
        <w:ind w:left="1440"/>
        <w:rPr>
          <w:rFonts w:hint="eastAsia" w:ascii="宋体" w:hAnsi="宋体" w:eastAsia="宋体" w:cs="宋体"/>
        </w:rPr>
      </w:pPr>
      <w:r>
        <w:rPr>
          <w:rFonts w:hint="eastAsia" w:ascii="宋体" w:hAnsi="宋体" w:eastAsia="宋体" w:cs="宋体"/>
          <w:sz w:val="24"/>
        </w:rPr>
        <w:t>C</w:t>
      </w:r>
      <w:r>
        <w:rPr>
          <w:rFonts w:hint="eastAsia" w:ascii="宋体" w:hAnsi="宋体" w:eastAsia="宋体" w:cs="宋体"/>
          <w:sz w:val="24"/>
          <w:vertAlign w:val="subscript"/>
        </w:rPr>
        <w:t>减</w:t>
      </w:r>
      <w:r>
        <w:rPr>
          <w:rFonts w:hint="eastAsia" w:ascii="宋体" w:hAnsi="宋体" w:eastAsia="宋体" w:cs="宋体"/>
        </w:rPr>
        <w:t>－调减合同价格；</w:t>
      </w:r>
    </w:p>
    <w:p>
      <w:pPr>
        <w:tabs>
          <w:tab w:val="left" w:pos="1620"/>
          <w:tab w:val="left" w:pos="2340"/>
        </w:tabs>
        <w:snapToGrid w:val="0"/>
        <w:ind w:left="1440"/>
        <w:rPr>
          <w:rFonts w:hint="eastAsia" w:ascii="宋体" w:hAnsi="宋体" w:eastAsia="宋体" w:cs="宋体"/>
        </w:rPr>
      </w:pPr>
      <w:r>
        <w:rPr>
          <w:rFonts w:hint="eastAsia" w:ascii="宋体" w:hAnsi="宋体" w:eastAsia="宋体" w:cs="宋体"/>
          <w:sz w:val="24"/>
        </w:rPr>
        <w:t>Q</w:t>
      </w:r>
      <w:r>
        <w:rPr>
          <w:rFonts w:hint="eastAsia" w:ascii="宋体" w:hAnsi="宋体" w:eastAsia="宋体" w:cs="宋体"/>
          <w:sz w:val="24"/>
          <w:vertAlign w:val="subscript"/>
        </w:rPr>
        <w:t>总</w:t>
      </w:r>
      <w:r>
        <w:rPr>
          <w:rFonts w:hint="eastAsia" w:ascii="宋体" w:hAnsi="宋体" w:eastAsia="宋体" w:cs="宋体"/>
        </w:rPr>
        <w:t>－本项目已完工程合格产品的某材料总用量（其中消耗量因素在</w:t>
      </w:r>
      <w:r>
        <w:rPr>
          <w:rFonts w:hint="eastAsia" w:ascii="宋体" w:hAnsi="宋体" w:eastAsia="宋体" w:cs="宋体"/>
          <w:b/>
          <w:i/>
        </w:rPr>
        <w:t>专用条款</w:t>
      </w:r>
      <w:r>
        <w:rPr>
          <w:rFonts w:hint="eastAsia" w:ascii="宋体" w:hAnsi="宋体" w:eastAsia="宋体" w:cs="宋体"/>
        </w:rPr>
        <w:t>约定）。</w:t>
      </w:r>
    </w:p>
    <w:p>
      <w:pPr>
        <w:tabs>
          <w:tab w:val="left" w:pos="1620"/>
          <w:tab w:val="left" w:pos="2340"/>
        </w:tabs>
        <w:snapToGrid w:val="0"/>
        <w:spacing w:before="156" w:beforeLines="50"/>
        <w:ind w:firstLine="1440" w:firstLineChars="600"/>
        <w:rPr>
          <w:rFonts w:hint="eastAsia" w:ascii="宋体" w:hAnsi="宋体" w:eastAsia="宋体" w:cs="宋体"/>
          <w:kern w:val="0"/>
        </w:rPr>
      </w:pPr>
      <w:r>
        <w:rPr>
          <w:rFonts w:hint="eastAsia" w:ascii="宋体" w:hAnsi="宋体" w:eastAsia="宋体" w:cs="宋体"/>
          <w:i/>
          <w:sz w:val="24"/>
        </w:rPr>
        <w:sym w:font="Symbol" w:char="F060"/>
      </w:r>
      <w:r>
        <w:rPr>
          <w:rFonts w:hint="eastAsia" w:ascii="宋体" w:hAnsi="宋体" w:eastAsia="宋体" w:cs="宋体"/>
          <w:i/>
          <w:sz w:val="24"/>
        </w:rPr>
        <w:t>P</w:t>
      </w:r>
      <w:r>
        <w:rPr>
          <w:rFonts w:hint="eastAsia" w:ascii="宋体" w:hAnsi="宋体" w:eastAsia="宋体" w:cs="宋体"/>
        </w:rPr>
        <w:t>－计算方式如下（或按</w:t>
      </w:r>
      <w:r>
        <w:rPr>
          <w:rFonts w:hint="eastAsia" w:ascii="宋体" w:hAnsi="宋体" w:eastAsia="宋体" w:cs="宋体"/>
          <w:b/>
          <w:i/>
        </w:rPr>
        <w:t>专用条款</w:t>
      </w:r>
      <w:r>
        <w:rPr>
          <w:rFonts w:hint="eastAsia" w:ascii="宋体" w:hAnsi="宋体" w:eastAsia="宋体" w:cs="宋体"/>
        </w:rPr>
        <w:t>中约定的方法）：</w:t>
      </w:r>
    </w:p>
    <w:p>
      <w:pPr>
        <w:tabs>
          <w:tab w:val="left" w:pos="1620"/>
          <w:tab w:val="left" w:pos="2340"/>
        </w:tabs>
        <w:snapToGrid w:val="0"/>
        <w:spacing w:before="156" w:beforeLines="50"/>
        <w:ind w:firstLine="1200" w:firstLineChars="500"/>
        <w:rPr>
          <w:rFonts w:hint="eastAsia" w:ascii="宋体" w:hAnsi="宋体" w:eastAsia="宋体" w:cs="宋体"/>
          <w:kern w:val="0"/>
        </w:rPr>
      </w:pPr>
      <w:r>
        <w:rPr>
          <w:rFonts w:hint="eastAsia" w:ascii="宋体" w:hAnsi="宋体" w:eastAsia="宋体" w:cs="宋体"/>
          <w:sz w:val="24"/>
        </w:rPr>
        <w:t>①</w:t>
      </w:r>
      <w:r>
        <w:rPr>
          <w:rFonts w:hint="eastAsia" w:ascii="宋体" w:hAnsi="宋体" w:eastAsia="宋体" w:cs="宋体"/>
          <w:kern w:val="0"/>
        </w:rPr>
        <w:t>加权平均法：</w:t>
      </w:r>
    </w:p>
    <w:p>
      <w:pPr>
        <w:snapToGrid w:val="0"/>
        <w:ind w:left="1440"/>
        <w:rPr>
          <w:rFonts w:hint="eastAsia" w:ascii="宋体" w:hAnsi="宋体" w:eastAsia="宋体" w:cs="宋体"/>
          <w:kern w:val="0"/>
        </w:rPr>
      </w:pPr>
      <w:r>
        <w:rPr>
          <w:rFonts w:hint="eastAsia" w:ascii="宋体" w:hAnsi="宋体" w:eastAsia="宋体" w:cs="宋体"/>
          <w:i/>
          <w:sz w:val="24"/>
        </w:rPr>
        <w:sym w:font="Symbol" w:char="F060"/>
      </w:r>
      <w:r>
        <w:rPr>
          <w:rFonts w:hint="eastAsia" w:ascii="宋体" w:hAnsi="宋体" w:eastAsia="宋体" w:cs="宋体"/>
          <w:i/>
          <w:sz w:val="24"/>
        </w:rPr>
        <w:t>P</w:t>
      </w:r>
      <w:r>
        <w:rPr>
          <w:rFonts w:hint="eastAsia" w:ascii="宋体" w:hAnsi="宋体" w:eastAsia="宋体" w:cs="宋体"/>
        </w:rPr>
        <w:t xml:space="preserve"> </w:t>
      </w:r>
      <w:r>
        <w:rPr>
          <w:rFonts w:hint="eastAsia" w:ascii="宋体" w:hAnsi="宋体" w:eastAsia="宋体" w:cs="宋体"/>
          <w:sz w:val="24"/>
        </w:rPr>
        <w:t>-</w:t>
      </w:r>
      <w:r>
        <w:rPr>
          <w:rFonts w:hint="eastAsia" w:ascii="宋体" w:hAnsi="宋体" w:eastAsia="宋体" w:cs="宋体"/>
        </w:rPr>
        <w:t>施工期加权平均价格，即</w:t>
      </w:r>
      <w:r>
        <w:rPr>
          <w:rFonts w:hint="eastAsia" w:ascii="宋体" w:hAnsi="宋体" w:eastAsia="宋体" w:cs="宋体"/>
          <w:sz w:val="24"/>
        </w:rPr>
        <w:t>∑(Q</w:t>
      </w:r>
      <w:r>
        <w:rPr>
          <w:rFonts w:hint="eastAsia" w:ascii="宋体" w:hAnsi="宋体" w:eastAsia="宋体" w:cs="宋体"/>
          <w:sz w:val="24"/>
          <w:vertAlign w:val="subscript"/>
        </w:rPr>
        <w:t>i</w:t>
      </w:r>
      <w:r>
        <w:rPr>
          <w:rFonts w:hint="eastAsia" w:ascii="宋体" w:hAnsi="宋体" w:eastAsia="宋体" w:cs="宋体"/>
          <w:sz w:val="24"/>
        </w:rPr>
        <w:t>×P</w:t>
      </w:r>
      <w:r>
        <w:rPr>
          <w:rFonts w:hint="eastAsia" w:ascii="宋体" w:hAnsi="宋体" w:eastAsia="宋体" w:cs="宋体"/>
          <w:sz w:val="24"/>
          <w:vertAlign w:val="subscript"/>
        </w:rPr>
        <w:t>i</w:t>
      </w:r>
      <w:r>
        <w:rPr>
          <w:rFonts w:hint="eastAsia" w:ascii="宋体" w:hAnsi="宋体" w:eastAsia="宋体" w:cs="宋体"/>
          <w:sz w:val="24"/>
        </w:rPr>
        <w:t>)/Q</w:t>
      </w:r>
      <w:r>
        <w:rPr>
          <w:rFonts w:hint="eastAsia" w:ascii="宋体" w:hAnsi="宋体" w:eastAsia="宋体" w:cs="宋体"/>
          <w:sz w:val="24"/>
          <w:vertAlign w:val="subscript"/>
        </w:rPr>
        <w:t>总</w:t>
      </w:r>
      <w:r>
        <w:rPr>
          <w:rFonts w:hint="eastAsia" w:ascii="宋体" w:hAnsi="宋体" w:eastAsia="宋体" w:cs="宋体"/>
          <w:sz w:val="24"/>
        </w:rPr>
        <w:t>，其中Q</w:t>
      </w:r>
      <w:r>
        <w:rPr>
          <w:rFonts w:hint="eastAsia" w:ascii="宋体" w:hAnsi="宋体" w:eastAsia="宋体" w:cs="宋体"/>
          <w:sz w:val="24"/>
          <w:vertAlign w:val="subscript"/>
        </w:rPr>
        <w:t>i</w:t>
      </w:r>
      <w:r>
        <w:rPr>
          <w:rFonts w:hint="eastAsia" w:ascii="宋体" w:hAnsi="宋体" w:eastAsia="宋体" w:cs="宋体"/>
        </w:rPr>
        <w:t>为施工期第i个月某材料用量（消耗量因素在</w:t>
      </w:r>
      <w:r>
        <w:rPr>
          <w:rFonts w:hint="eastAsia" w:ascii="宋体" w:hAnsi="宋体" w:eastAsia="宋体" w:cs="宋体"/>
          <w:b/>
          <w:i/>
        </w:rPr>
        <w:t>专用条款</w:t>
      </w:r>
      <w:r>
        <w:rPr>
          <w:rFonts w:hint="eastAsia" w:ascii="宋体" w:hAnsi="宋体" w:eastAsia="宋体" w:cs="宋体"/>
        </w:rPr>
        <w:t>约定）；</w:t>
      </w:r>
      <w:r>
        <w:rPr>
          <w:rFonts w:hint="eastAsia" w:ascii="宋体" w:hAnsi="宋体" w:eastAsia="宋体" w:cs="宋体"/>
          <w:sz w:val="24"/>
        </w:rPr>
        <w:t>P</w:t>
      </w:r>
      <w:r>
        <w:rPr>
          <w:rFonts w:hint="eastAsia" w:ascii="宋体" w:hAnsi="宋体" w:eastAsia="宋体" w:cs="宋体"/>
          <w:sz w:val="24"/>
          <w:vertAlign w:val="subscript"/>
        </w:rPr>
        <w:t>i</w:t>
      </w:r>
      <w:r>
        <w:rPr>
          <w:rFonts w:hint="eastAsia" w:ascii="宋体" w:hAnsi="宋体" w:eastAsia="宋体" w:cs="宋体"/>
        </w:rPr>
        <w:t>为施工期第i个月当月《深圳建设工程价格信息》某材料价格。例如施工期第i个月是2018年6月，则对应2018年6月《深圳建设工程价格信息》。</w:t>
      </w:r>
    </w:p>
    <w:p>
      <w:pPr>
        <w:tabs>
          <w:tab w:val="left" w:pos="1620"/>
          <w:tab w:val="left" w:pos="2340"/>
        </w:tabs>
        <w:snapToGrid w:val="0"/>
        <w:spacing w:before="156" w:beforeLines="50"/>
        <w:ind w:firstLine="1200" w:firstLineChars="500"/>
        <w:rPr>
          <w:rFonts w:hint="eastAsia" w:ascii="宋体" w:hAnsi="宋体" w:eastAsia="宋体" w:cs="宋体"/>
        </w:rPr>
      </w:pPr>
      <w:r>
        <w:rPr>
          <w:rFonts w:hint="eastAsia" w:ascii="宋体" w:hAnsi="宋体" w:eastAsia="宋体" w:cs="宋体"/>
          <w:sz w:val="24"/>
        </w:rPr>
        <w:t>或者②</w:t>
      </w:r>
      <w:r>
        <w:rPr>
          <w:rFonts w:hint="eastAsia" w:ascii="宋体" w:hAnsi="宋体" w:eastAsia="宋体" w:cs="宋体"/>
        </w:rPr>
        <w:t>算术平均法：</w:t>
      </w:r>
    </w:p>
    <w:p>
      <w:pPr>
        <w:snapToGrid w:val="0"/>
        <w:ind w:left="1440"/>
        <w:rPr>
          <w:rFonts w:hint="eastAsia" w:ascii="宋体" w:hAnsi="宋体" w:eastAsia="宋体" w:cs="宋体"/>
        </w:rPr>
      </w:pPr>
      <w:r>
        <w:rPr>
          <w:rFonts w:hint="eastAsia" w:ascii="宋体" w:hAnsi="宋体" w:eastAsia="宋体" w:cs="宋体"/>
          <w:i/>
          <w:sz w:val="24"/>
        </w:rPr>
        <w:sym w:font="Symbol" w:char="F060"/>
      </w:r>
      <w:r>
        <w:rPr>
          <w:rFonts w:hint="eastAsia" w:ascii="宋体" w:hAnsi="宋体" w:eastAsia="宋体" w:cs="宋体"/>
          <w:i/>
          <w:sz w:val="24"/>
        </w:rPr>
        <w:t>P</w:t>
      </w:r>
      <w:r>
        <w:rPr>
          <w:rFonts w:hint="eastAsia" w:ascii="宋体" w:hAnsi="宋体" w:eastAsia="宋体" w:cs="宋体"/>
        </w:rPr>
        <w:t xml:space="preserve"> </w:t>
      </w:r>
      <w:r>
        <w:rPr>
          <w:rFonts w:hint="eastAsia" w:ascii="宋体" w:hAnsi="宋体" w:eastAsia="宋体" w:cs="宋体"/>
          <w:sz w:val="24"/>
        </w:rPr>
        <w:t>-</w:t>
      </w:r>
      <w:r>
        <w:rPr>
          <w:rFonts w:hint="eastAsia" w:ascii="宋体" w:hAnsi="宋体" w:eastAsia="宋体" w:cs="宋体"/>
        </w:rPr>
        <w:t>本工程有某材料投入月份对应《深圳建设工程价格信息》某材料价格的算术平均值。例如有某材料投入月份是指2018年6月至8月，则对应2018年6月至8月《深圳建设工程价格信息》某材料价格之和除以3。</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795" w:name="_Toc302635839"/>
      <w:bookmarkStart w:id="796" w:name="_Toc67418616"/>
      <w:bookmarkStart w:id="797" w:name="_Toc24191"/>
      <w:r>
        <w:rPr>
          <w:rFonts w:hint="eastAsia" w:ascii="宋体" w:hAnsi="宋体" w:cs="宋体"/>
          <w:sz w:val="24"/>
          <w:szCs w:val="24"/>
          <w:lang w:val="en-US" w:eastAsia="zh-CN"/>
        </w:rPr>
        <w:t xml:space="preserve">20.6 </w:t>
      </w:r>
      <w:r>
        <w:rPr>
          <w:rFonts w:hint="eastAsia" w:ascii="宋体" w:hAnsi="宋体" w:eastAsia="宋体" w:cs="宋体"/>
          <w:sz w:val="24"/>
          <w:szCs w:val="24"/>
        </w:rPr>
        <w:t>人工、机械使用调差</w:t>
      </w:r>
      <w:bookmarkEnd w:id="795"/>
      <w:r>
        <w:rPr>
          <w:rFonts w:hint="eastAsia" w:ascii="宋体" w:hAnsi="宋体" w:eastAsia="宋体" w:cs="宋体"/>
          <w:sz w:val="24"/>
          <w:szCs w:val="24"/>
        </w:rPr>
        <w:t>方法</w:t>
      </w:r>
      <w:bookmarkEnd w:id="796"/>
      <w:bookmarkEnd w:id="797"/>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⑴用于本工程的机械使用发生价格波动时，按照20.5款调差公式，将公式中的材料价格替换为机械使用价格，调整合同价格。</w:t>
      </w:r>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⑵用于本工程的人工发生价格波动时，可在</w:t>
      </w:r>
      <w:r>
        <w:rPr>
          <w:rFonts w:hint="eastAsia" w:ascii="宋体" w:hAnsi="宋体" w:eastAsia="宋体" w:cs="宋体"/>
          <w:b/>
          <w:i/>
          <w:kern w:val="0"/>
        </w:rPr>
        <w:t>专用条款</w:t>
      </w:r>
      <w:r>
        <w:rPr>
          <w:rFonts w:hint="eastAsia" w:ascii="宋体" w:hAnsi="宋体" w:eastAsia="宋体" w:cs="宋体"/>
          <w:kern w:val="0"/>
        </w:rPr>
        <w:t>中约定一种调差方式：</w:t>
      </w:r>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①按照20.5款调差公式，将公式中的材料价格替换为人工价格，调整合同价格。其中，</w:t>
      </w:r>
      <w:r>
        <w:rPr>
          <w:rFonts w:hint="eastAsia" w:ascii="宋体" w:hAnsi="宋体" w:eastAsia="宋体" w:cs="宋体"/>
          <w:sz w:val="24"/>
        </w:rPr>
        <w:t>P</w:t>
      </w:r>
      <w:r>
        <w:rPr>
          <w:rFonts w:hint="eastAsia" w:ascii="宋体" w:hAnsi="宋体" w:eastAsia="宋体" w:cs="宋体"/>
          <w:sz w:val="24"/>
          <w:vertAlign w:val="subscript"/>
        </w:rPr>
        <w:t>0</w:t>
      </w:r>
      <w:r>
        <w:rPr>
          <w:rFonts w:hint="eastAsia" w:ascii="宋体" w:hAnsi="宋体" w:eastAsia="宋体" w:cs="宋体"/>
          <w:kern w:val="0"/>
        </w:rPr>
        <w:t>为投标截止日期前35天的当月或专用条款约定月份《深圳建设工程价格信息》某人工定额工日价格；</w:t>
      </w:r>
      <w:r>
        <w:rPr>
          <w:rFonts w:hint="eastAsia" w:ascii="宋体" w:hAnsi="宋体" w:eastAsia="宋体" w:cs="宋体"/>
          <w:sz w:val="24"/>
        </w:rPr>
        <w:t>P</w:t>
      </w:r>
      <w:r>
        <w:rPr>
          <w:rFonts w:hint="eastAsia" w:ascii="宋体" w:hAnsi="宋体" w:eastAsia="宋体" w:cs="宋体"/>
          <w:sz w:val="24"/>
          <w:vertAlign w:val="subscript"/>
        </w:rPr>
        <w:t>i</w:t>
      </w:r>
      <w:r>
        <w:rPr>
          <w:rFonts w:hint="eastAsia" w:ascii="宋体" w:hAnsi="宋体" w:eastAsia="宋体" w:cs="宋体"/>
          <w:kern w:val="0"/>
        </w:rPr>
        <w:t>为施工期第i个月《深圳建设工程价格信息》某人工定额工日价格。或；</w:t>
      </w:r>
    </w:p>
    <w:p>
      <w:pPr>
        <w:snapToGrid w:val="0"/>
        <w:ind w:firstLine="945" w:firstLineChars="450"/>
        <w:rPr>
          <w:rFonts w:hint="eastAsia" w:ascii="宋体" w:hAnsi="宋体" w:eastAsia="宋体" w:cs="宋体"/>
          <w:szCs w:val="22"/>
        </w:rPr>
      </w:pPr>
      <w:r>
        <w:rPr>
          <w:rFonts w:hint="eastAsia" w:ascii="宋体" w:hAnsi="宋体" w:eastAsia="宋体" w:cs="宋体"/>
          <w:szCs w:val="21"/>
        </w:rPr>
        <w:t>②按照人工费指数调差：</w:t>
      </w:r>
    </w:p>
    <w:p>
      <w:pPr>
        <w:snapToGrid w:val="0"/>
        <w:ind w:firstLine="945" w:firstLineChars="450"/>
        <w:rPr>
          <w:rFonts w:hint="eastAsia" w:ascii="宋体" w:hAnsi="宋体" w:eastAsia="宋体" w:cs="宋体"/>
          <w:szCs w:val="21"/>
        </w:rPr>
      </w:pPr>
      <w:r>
        <w:rPr>
          <w:rFonts w:hint="eastAsia" w:ascii="宋体" w:hAnsi="宋体" w:eastAsia="宋体" w:cs="宋体"/>
          <w:szCs w:val="21"/>
        </w:rPr>
        <w:t>当</w:t>
      </w:r>
      <w:r>
        <w:rPr>
          <w:rFonts w:hint="eastAsia" w:ascii="宋体" w:hAnsi="宋体" w:eastAsia="宋体" w:cs="宋体"/>
          <w:szCs w:val="21"/>
        </w:rPr>
        <w:sym w:font="Symbol" w:char="F060"/>
      </w:r>
      <w:r>
        <w:rPr>
          <w:rFonts w:hint="eastAsia" w:ascii="宋体" w:hAnsi="宋体" w:eastAsia="宋体" w:cs="宋体"/>
          <w:i/>
          <w:szCs w:val="21"/>
        </w:rPr>
        <w:t xml:space="preserve">I </w:t>
      </w:r>
      <w:r>
        <w:rPr>
          <w:rFonts w:hint="eastAsia" w:ascii="宋体" w:hAnsi="宋体" w:eastAsia="宋体" w:cs="宋体"/>
          <w:szCs w:val="21"/>
        </w:rPr>
        <w:t>/I</w:t>
      </w:r>
      <w:r>
        <w:rPr>
          <w:rFonts w:hint="eastAsia" w:ascii="宋体" w:hAnsi="宋体" w:eastAsia="宋体" w:cs="宋体"/>
          <w:szCs w:val="21"/>
          <w:vertAlign w:val="subscript"/>
        </w:rPr>
        <w:t>o</w:t>
      </w:r>
      <w:r>
        <w:rPr>
          <w:rFonts w:hint="eastAsia" w:ascii="宋体" w:hAnsi="宋体" w:eastAsia="宋体" w:cs="宋体"/>
          <w:szCs w:val="21"/>
        </w:rPr>
        <w:t>﹥1.05时，则：C</w:t>
      </w:r>
      <w:r>
        <w:rPr>
          <w:rFonts w:hint="eastAsia" w:ascii="宋体" w:hAnsi="宋体" w:eastAsia="宋体" w:cs="宋体"/>
          <w:szCs w:val="21"/>
          <w:vertAlign w:val="subscript"/>
        </w:rPr>
        <w:t>增</w:t>
      </w:r>
      <w:r>
        <w:rPr>
          <w:rFonts w:hint="eastAsia" w:ascii="宋体" w:hAnsi="宋体" w:eastAsia="宋体" w:cs="宋体"/>
          <w:szCs w:val="21"/>
        </w:rPr>
        <w:t>=L</w:t>
      </w:r>
      <w:r>
        <w:rPr>
          <w:rFonts w:hint="eastAsia" w:ascii="宋体" w:hAnsi="宋体" w:eastAsia="宋体" w:cs="宋体"/>
          <w:szCs w:val="21"/>
          <w:vertAlign w:val="subscript"/>
        </w:rPr>
        <w:t>总</w:t>
      </w:r>
      <w:r>
        <w:rPr>
          <w:rFonts w:hint="eastAsia" w:ascii="宋体" w:hAnsi="宋体" w:eastAsia="宋体" w:cs="宋体"/>
          <w:szCs w:val="21"/>
        </w:rPr>
        <w:t>×(</w:t>
      </w:r>
      <w:r>
        <w:rPr>
          <w:rFonts w:hint="eastAsia" w:ascii="宋体" w:hAnsi="宋体" w:eastAsia="宋体" w:cs="宋体"/>
          <w:szCs w:val="21"/>
        </w:rPr>
        <w:sym w:font="Symbol" w:char="F060"/>
      </w:r>
      <w:r>
        <w:rPr>
          <w:rFonts w:hint="eastAsia" w:ascii="宋体" w:hAnsi="宋体" w:eastAsia="宋体" w:cs="宋体"/>
          <w:i/>
          <w:szCs w:val="21"/>
        </w:rPr>
        <w:t xml:space="preserve">I </w:t>
      </w:r>
      <w:r>
        <w:rPr>
          <w:rFonts w:hint="eastAsia" w:ascii="宋体" w:hAnsi="宋体" w:eastAsia="宋体" w:cs="宋体"/>
          <w:szCs w:val="21"/>
        </w:rPr>
        <w:t>/I</w:t>
      </w:r>
      <w:r>
        <w:rPr>
          <w:rFonts w:hint="eastAsia" w:ascii="宋体" w:hAnsi="宋体" w:eastAsia="宋体" w:cs="宋体"/>
          <w:szCs w:val="21"/>
          <w:vertAlign w:val="subscript"/>
        </w:rPr>
        <w:t>o</w:t>
      </w:r>
      <w:r>
        <w:rPr>
          <w:rFonts w:hint="eastAsia" w:ascii="宋体" w:hAnsi="宋体" w:eastAsia="宋体" w:cs="宋体"/>
          <w:szCs w:val="21"/>
        </w:rPr>
        <w:t>-1.05)；</w:t>
      </w:r>
    </w:p>
    <w:p>
      <w:pPr>
        <w:snapToGrid w:val="0"/>
        <w:ind w:firstLine="945" w:firstLineChars="450"/>
        <w:rPr>
          <w:rFonts w:hint="eastAsia" w:ascii="宋体" w:hAnsi="宋体" w:eastAsia="宋体" w:cs="宋体"/>
          <w:szCs w:val="21"/>
        </w:rPr>
      </w:pPr>
      <w:r>
        <w:rPr>
          <w:rFonts w:hint="eastAsia" w:ascii="宋体" w:hAnsi="宋体" w:eastAsia="宋体" w:cs="宋体"/>
          <w:szCs w:val="21"/>
        </w:rPr>
        <w:t>当</w:t>
      </w:r>
      <w:r>
        <w:rPr>
          <w:rFonts w:hint="eastAsia" w:ascii="宋体" w:hAnsi="宋体" w:eastAsia="宋体" w:cs="宋体"/>
          <w:szCs w:val="21"/>
        </w:rPr>
        <w:sym w:font="Symbol" w:char="F060"/>
      </w:r>
      <w:r>
        <w:rPr>
          <w:rFonts w:hint="eastAsia" w:ascii="宋体" w:hAnsi="宋体" w:eastAsia="宋体" w:cs="宋体"/>
          <w:i/>
          <w:szCs w:val="21"/>
        </w:rPr>
        <w:t xml:space="preserve">I </w:t>
      </w:r>
      <w:r>
        <w:rPr>
          <w:rFonts w:hint="eastAsia" w:ascii="宋体" w:hAnsi="宋体" w:eastAsia="宋体" w:cs="宋体"/>
          <w:szCs w:val="21"/>
        </w:rPr>
        <w:t>/I</w:t>
      </w:r>
      <w:r>
        <w:rPr>
          <w:rFonts w:hint="eastAsia" w:ascii="宋体" w:hAnsi="宋体" w:eastAsia="宋体" w:cs="宋体"/>
          <w:szCs w:val="21"/>
          <w:vertAlign w:val="subscript"/>
        </w:rPr>
        <w:t>o</w:t>
      </w:r>
      <w:r>
        <w:rPr>
          <w:rFonts w:hint="eastAsia" w:ascii="宋体" w:hAnsi="宋体" w:eastAsia="宋体" w:cs="宋体"/>
          <w:szCs w:val="21"/>
        </w:rPr>
        <w:t>﹤0.95时，则：C</w:t>
      </w:r>
      <w:r>
        <w:rPr>
          <w:rFonts w:hint="eastAsia" w:ascii="宋体" w:hAnsi="宋体" w:eastAsia="宋体" w:cs="宋体"/>
          <w:szCs w:val="21"/>
          <w:vertAlign w:val="subscript"/>
        </w:rPr>
        <w:t>减</w:t>
      </w:r>
      <w:r>
        <w:rPr>
          <w:rFonts w:hint="eastAsia" w:ascii="宋体" w:hAnsi="宋体" w:eastAsia="宋体" w:cs="宋体"/>
          <w:szCs w:val="21"/>
        </w:rPr>
        <w:t>=L</w:t>
      </w:r>
      <w:r>
        <w:rPr>
          <w:rFonts w:hint="eastAsia" w:ascii="宋体" w:hAnsi="宋体" w:eastAsia="宋体" w:cs="宋体"/>
          <w:szCs w:val="21"/>
          <w:vertAlign w:val="subscript"/>
        </w:rPr>
        <w:t>总</w:t>
      </w:r>
      <w:r>
        <w:rPr>
          <w:rFonts w:hint="eastAsia" w:ascii="宋体" w:hAnsi="宋体" w:eastAsia="宋体" w:cs="宋体"/>
          <w:szCs w:val="21"/>
        </w:rPr>
        <w:t>×(0.95-</w:t>
      </w:r>
      <w:r>
        <w:rPr>
          <w:rFonts w:hint="eastAsia" w:ascii="宋体" w:hAnsi="宋体" w:eastAsia="宋体" w:cs="宋体"/>
          <w:szCs w:val="21"/>
        </w:rPr>
        <w:sym w:font="Symbol" w:char="F060"/>
      </w:r>
      <w:r>
        <w:rPr>
          <w:rFonts w:hint="eastAsia" w:ascii="宋体" w:hAnsi="宋体" w:eastAsia="宋体" w:cs="宋体"/>
          <w:i/>
          <w:szCs w:val="21"/>
        </w:rPr>
        <w:t xml:space="preserve">I </w:t>
      </w:r>
      <w:r>
        <w:rPr>
          <w:rFonts w:hint="eastAsia" w:ascii="宋体" w:hAnsi="宋体" w:eastAsia="宋体" w:cs="宋体"/>
          <w:szCs w:val="21"/>
        </w:rPr>
        <w:t>/I</w:t>
      </w:r>
      <w:r>
        <w:rPr>
          <w:rFonts w:hint="eastAsia" w:ascii="宋体" w:hAnsi="宋体" w:eastAsia="宋体" w:cs="宋体"/>
          <w:szCs w:val="21"/>
          <w:vertAlign w:val="subscript"/>
        </w:rPr>
        <w:t>o</w:t>
      </w:r>
      <w:r>
        <w:rPr>
          <w:rFonts w:hint="eastAsia" w:ascii="宋体" w:hAnsi="宋体" w:eastAsia="宋体" w:cs="宋体"/>
          <w:szCs w:val="21"/>
        </w:rPr>
        <w:t>)</w:t>
      </w:r>
    </w:p>
    <w:p>
      <w:pPr>
        <w:ind w:firstLine="945" w:firstLineChars="450"/>
        <w:rPr>
          <w:rFonts w:hint="eastAsia" w:ascii="宋体" w:hAnsi="宋体" w:eastAsia="宋体" w:cs="宋体"/>
          <w:szCs w:val="21"/>
        </w:rPr>
      </w:pPr>
      <w:r>
        <w:rPr>
          <w:rFonts w:hint="eastAsia" w:ascii="宋体" w:hAnsi="宋体" w:eastAsia="宋体" w:cs="宋体"/>
          <w:szCs w:val="21"/>
        </w:rPr>
        <w:t>式中：</w:t>
      </w:r>
    </w:p>
    <w:p>
      <w:pPr>
        <w:snapToGrid w:val="0"/>
        <w:ind w:left="1050" w:leftChars="500"/>
        <w:rPr>
          <w:rFonts w:hint="eastAsia" w:ascii="宋体" w:hAnsi="宋体" w:eastAsia="宋体" w:cs="宋体"/>
        </w:rPr>
      </w:pPr>
      <w:r>
        <w:rPr>
          <w:rFonts w:hint="eastAsia" w:ascii="宋体" w:hAnsi="宋体" w:eastAsia="宋体" w:cs="宋体"/>
          <w:szCs w:val="21"/>
        </w:rPr>
        <w:sym w:font="Symbol" w:char="F060"/>
      </w:r>
      <w:r>
        <w:rPr>
          <w:rFonts w:hint="eastAsia" w:ascii="宋体" w:hAnsi="宋体" w:eastAsia="宋体" w:cs="宋体"/>
          <w:i/>
          <w:szCs w:val="21"/>
        </w:rPr>
        <w:t xml:space="preserve">I </w:t>
      </w:r>
      <w:r>
        <w:rPr>
          <w:rFonts w:hint="eastAsia" w:ascii="宋体" w:hAnsi="宋体" w:eastAsia="宋体" w:cs="宋体"/>
          <w:sz w:val="24"/>
        </w:rPr>
        <w:fldChar w:fldCharType="begin"/>
      </w:r>
      <w:r>
        <w:rPr>
          <w:rFonts w:hint="eastAsia" w:ascii="宋体" w:hAnsi="宋体" w:eastAsia="宋体" w:cs="宋体"/>
          <w:sz w:val="24"/>
        </w:rPr>
        <w:instrText xml:space="preserve"> QUOTE </w:instrText>
      </w:r>
      <w:r>
        <w:rPr>
          <w:rFonts w:hint="eastAsia" w:ascii="宋体" w:hAnsi="宋体" w:eastAsia="宋体" w:cs="宋体"/>
          <w:position w:val="-5"/>
        </w:rPr>
        <w:pict>
          <v:shape id="_x0000_i1025" o:spt="75" type="#_x0000_t75" style="height:15.6pt;width:7.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doNotEmbedSystemFonts/&gt;&lt;w:bordersDontSurroundHeader/&gt;&lt;w:bordersDontSurroundFooter/&gt;&lt;w:hideSpellingErrors/&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593E13&quot;/&gt;&lt;wsp:rsid wsp:val=&quot;0000071D&quot;/&gt;&lt;wsp:rsid wsp:val=&quot;00000D02&quot;/&gt;&lt;wsp:rsid wsp:val=&quot;00004DE8&quot;/&gt;&lt;wsp:rsid wsp:val=&quot;000069D5&quot;/&gt;&lt;wsp:rsid wsp:val=&quot;00007D9C&quot;/&gt;&lt;wsp:rsid wsp:val=&quot;00012392&quot;/&gt;&lt;wsp:rsid wsp:val=&quot;00014F46&quot;/&gt;&lt;wsp:rsid wsp:val=&quot;000165EA&quot;/&gt;&lt;wsp:rsid wsp:val=&quot;00020489&quot;/&gt;&lt;wsp:rsid wsp:val=&quot;00021E33&quot;/&gt;&lt;wsp:rsid wsp:val=&quot;00023A8A&quot;/&gt;&lt;wsp:rsid wsp:val=&quot;00025806&quot;/&gt;&lt;wsp:rsid wsp:val=&quot;0002775D&quot;/&gt;&lt;wsp:rsid wsp:val=&quot;000308E2&quot;/&gt;&lt;wsp:rsid wsp:val=&quot;00030F80&quot;/&gt;&lt;wsp:rsid wsp:val=&quot;00033848&quot;/&gt;&lt;wsp:rsid wsp:val=&quot;00036E9F&quot;/&gt;&lt;wsp:rsid wsp:val=&quot;000411D7&quot;/&gt;&lt;wsp:rsid wsp:val=&quot;000414D2&quot;/&gt;&lt;wsp:rsid wsp:val=&quot;00043E77&quot;/&gt;&lt;wsp:rsid wsp:val=&quot;00045EF9&quot;/&gt;&lt;wsp:rsid wsp:val=&quot;000468A5&quot;/&gt;&lt;wsp:rsid wsp:val=&quot;00047C06&quot;/&gt;&lt;wsp:rsid wsp:val=&quot;00047EA6&quot;/&gt;&lt;wsp:rsid wsp:val=&quot;00052069&quot;/&gt;&lt;wsp:rsid wsp:val=&quot;00052BF2&quot;/&gt;&lt;wsp:rsid wsp:val=&quot;00052F30&quot;/&gt;&lt;wsp:rsid wsp:val=&quot;00053A03&quot;/&gt;&lt;wsp:rsid wsp:val=&quot;00054FA9&quot;/&gt;&lt;wsp:rsid wsp:val=&quot;0005580E&quot;/&gt;&lt;wsp:rsid wsp:val=&quot;00055AD7&quot;/&gt;&lt;wsp:rsid wsp:val=&quot;0005623B&quot;/&gt;&lt;wsp:rsid wsp:val=&quot;000572AD&quot;/&gt;&lt;wsp:rsid wsp:val=&quot;00057382&quot;/&gt;&lt;wsp:rsid wsp:val=&quot;00060488&quot;/&gt;&lt;wsp:rsid wsp:val=&quot;000648A9&quot;/&gt;&lt;wsp:rsid wsp:val=&quot;000719E7&quot;/&gt;&lt;wsp:rsid wsp:val=&quot;000729DF&quot;/&gt;&lt;wsp:rsid wsp:val=&quot;00077B8B&quot;/&gt;&lt;wsp:rsid wsp:val=&quot;00077EF2&quot;/&gt;&lt;wsp:rsid wsp:val=&quot;000810F0&quot;/&gt;&lt;wsp:rsid wsp:val=&quot;00082F84&quot;/&gt;&lt;wsp:rsid wsp:val=&quot;00083CBC&quot;/&gt;&lt;wsp:rsid wsp:val=&quot;00084451&quot;/&gt;&lt;wsp:rsid wsp:val=&quot;00084AE2&quot;/&gt;&lt;wsp:rsid wsp:val=&quot;0008657B&quot;/&gt;&lt;wsp:rsid wsp:val=&quot;00094468&quot;/&gt;&lt;wsp:rsid wsp:val=&quot;00095456&quot;/&gt;&lt;wsp:rsid wsp:val=&quot;00095A4E&quot;/&gt;&lt;wsp:rsid wsp:val=&quot;0009628F&quot;/&gt;&lt;wsp:rsid wsp:val=&quot;000A0065&quot;/&gt;&lt;wsp:rsid wsp:val=&quot;000A2F55&quot;/&gt;&lt;wsp:rsid wsp:val=&quot;000A3256&quot;/&gt;&lt;wsp:rsid wsp:val=&quot;000A3832&quot;/&gt;&lt;wsp:rsid wsp:val=&quot;000A4706&quot;/&gt;&lt;wsp:rsid wsp:val=&quot;000A6230&quot;/&gt;&lt;wsp:rsid wsp:val=&quot;000B434D&quot;/&gt;&lt;wsp:rsid wsp:val=&quot;000B57AC&quot;/&gt;&lt;wsp:rsid wsp:val=&quot;000B6047&quot;/&gt;&lt;wsp:rsid wsp:val=&quot;000B6DC8&quot;/&gt;&lt;wsp:rsid wsp:val=&quot;000C2234&quot;/&gt;&lt;wsp:rsid wsp:val=&quot;000C3125&quot;/&gt;&lt;wsp:rsid wsp:val=&quot;000C39FE&quot;/&gt;&lt;wsp:rsid wsp:val=&quot;000C3CE2&quot;/&gt;&lt;wsp:rsid wsp:val=&quot;000C72F2&quot;/&gt;&lt;wsp:rsid wsp:val=&quot;000D38E8&quot;/&gt;&lt;wsp:rsid wsp:val=&quot;000D4BF6&quot;/&gt;&lt;wsp:rsid wsp:val=&quot;000D5D1B&quot;/&gt;&lt;wsp:rsid wsp:val=&quot;000D6385&quot;/&gt;&lt;wsp:rsid wsp:val=&quot;000D7740&quot;/&gt;&lt;wsp:rsid wsp:val=&quot;000E203D&quot;/&gt;&lt;wsp:rsid wsp:val=&quot;000E2478&quot;/&gt;&lt;wsp:rsid wsp:val=&quot;000E6B7A&quot;/&gt;&lt;wsp:rsid wsp:val=&quot;000F0BDF&quot;/&gt;&lt;wsp:rsid wsp:val=&quot;000F1A51&quot;/&gt;&lt;wsp:rsid wsp:val=&quot;000F1DC5&quot;/&gt;&lt;wsp:rsid wsp:val=&quot;000F40EF&quot;/&gt;&lt;wsp:rsid wsp:val=&quot;000F4717&quot;/&gt;&lt;wsp:rsid wsp:val=&quot;000F50A3&quot;/&gt;&lt;wsp:rsid wsp:val=&quot;000F50D5&quot;/&gt;&lt;wsp:rsid wsp:val=&quot;000F61AA&quot;/&gt;&lt;wsp:rsid wsp:val=&quot;000F65AF&quot;/&gt;&lt;wsp:rsid wsp:val=&quot;000F6AB2&quot;/&gt;&lt;wsp:rsid wsp:val=&quot;000F6AF4&quot;/&gt;&lt;wsp:rsid wsp:val=&quot;000F70E6&quot;/&gt;&lt;wsp:rsid wsp:val=&quot;000F7C52&quot;/&gt;&lt;wsp:rsid wsp:val=&quot;0010049C&quot;/&gt;&lt;wsp:rsid wsp:val=&quot;00101569&quot;/&gt;&lt;wsp:rsid wsp:val=&quot;00101CBB&quot;/&gt;&lt;wsp:rsid wsp:val=&quot;0010421A&quot;/&gt;&lt;wsp:rsid wsp:val=&quot;00105A99&quot;/&gt;&lt;wsp:rsid wsp:val=&quot;00113015&quot;/&gt;&lt;wsp:rsid wsp:val=&quot;001138D5&quot;/&gt;&lt;wsp:rsid wsp:val=&quot;0011466B&quot;/&gt;&lt;wsp:rsid wsp:val=&quot;0011777B&quot;/&gt;&lt;wsp:rsid wsp:val=&quot;00123C84&quot;/&gt;&lt;wsp:rsid wsp:val=&quot;001303AA&quot;/&gt;&lt;wsp:rsid wsp:val=&quot;0013166E&quot;/&gt;&lt;wsp:rsid wsp:val=&quot;0013183C&quot;/&gt;&lt;wsp:rsid wsp:val=&quot;00131887&quot;/&gt;&lt;wsp:rsid wsp:val=&quot;001330BA&quot;/&gt;&lt;wsp:rsid wsp:val=&quot;00136D66&quot;/&gt;&lt;wsp:rsid wsp:val=&quot;00140432&quot;/&gt;&lt;wsp:rsid wsp:val=&quot;00140DF5&quot;/&gt;&lt;wsp:rsid wsp:val=&quot;001412E1&quot;/&gt;&lt;wsp:rsid wsp:val=&quot;00141897&quot;/&gt;&lt;wsp:rsid wsp:val=&quot;00141CD9&quot;/&gt;&lt;wsp:rsid wsp:val=&quot;00141EBE&quot;/&gt;&lt;wsp:rsid wsp:val=&quot;00142C0D&quot;/&gt;&lt;wsp:rsid wsp:val=&quot;0014595C&quot;/&gt;&lt;wsp:rsid wsp:val=&quot;00151120&quot;/&gt;&lt;wsp:rsid wsp:val=&quot;00151938&quot;/&gt;&lt;wsp:rsid wsp:val=&quot;001568E1&quot;/&gt;&lt;wsp:rsid wsp:val=&quot;00156CAC&quot;/&gt;&lt;wsp:rsid wsp:val=&quot;00156F83&quot;/&gt;&lt;wsp:rsid wsp:val=&quot;00157DF5&quot;/&gt;&lt;wsp:rsid wsp:val=&quot;00161306&quot;/&gt;&lt;wsp:rsid wsp:val=&quot;0016206C&quot;/&gt;&lt;wsp:rsid wsp:val=&quot;0016233B&quot;/&gt;&lt;wsp:rsid wsp:val=&quot;00162CA7&quot;/&gt;&lt;wsp:rsid wsp:val=&quot;00164E8A&quot;/&gt;&lt;wsp:rsid wsp:val=&quot;0016510C&quot;/&gt;&lt;wsp:rsid wsp:val=&quot;00166D5B&quot;/&gt;&lt;wsp:rsid wsp:val=&quot;00167392&quot;/&gt;&lt;wsp:rsid wsp:val=&quot;001723F6&quot;/&gt;&lt;wsp:rsid wsp:val=&quot;00174456&quot;/&gt;&lt;wsp:rsid wsp:val=&quot;00176D33&quot;/&gt;&lt;wsp:rsid wsp:val=&quot;00177C74&quot;/&gt;&lt;wsp:rsid wsp:val=&quot;00180156&quot;/&gt;&lt;wsp:rsid wsp:val=&quot;0018087C&quot;/&gt;&lt;wsp:rsid wsp:val=&quot;001814B1&quot;/&gt;&lt;wsp:rsid wsp:val=&quot;001823B5&quot;/&gt;&lt;wsp:rsid wsp:val=&quot;00187E16&quot;/&gt;&lt;wsp:rsid wsp:val=&quot;00190152&quot;/&gt;&lt;wsp:rsid wsp:val=&quot;00193A33&quot;/&gt;&lt;wsp:rsid wsp:val=&quot;00193EA0&quot;/&gt;&lt;wsp:rsid wsp:val=&quot;001A21CE&quot;/&gt;&lt;wsp:rsid wsp:val=&quot;001A26E2&quot;/&gt;&lt;wsp:rsid wsp:val=&quot;001A3C3E&quot;/&gt;&lt;wsp:rsid wsp:val=&quot;001A421C&quot;/&gt;&lt;wsp:rsid wsp:val=&quot;001A522C&quot;/&gt;&lt;wsp:rsid wsp:val=&quot;001A6EC2&quot;/&gt;&lt;wsp:rsid wsp:val=&quot;001A778A&quot;/&gt;&lt;wsp:rsid wsp:val=&quot;001B09C7&quot;/&gt;&lt;wsp:rsid wsp:val=&quot;001B0F1E&quot;/&gt;&lt;wsp:rsid wsp:val=&quot;001B1394&quot;/&gt;&lt;wsp:rsid wsp:val=&quot;001B1CAB&quot;/&gt;&lt;wsp:rsid wsp:val=&quot;001B4409&quot;/&gt;&lt;wsp:rsid wsp:val=&quot;001B4E0F&quot;/&gt;&lt;wsp:rsid wsp:val=&quot;001B5A60&quot;/&gt;&lt;wsp:rsid wsp:val=&quot;001C0559&quot;/&gt;&lt;wsp:rsid wsp:val=&quot;001C097A&quot;/&gt;&lt;wsp:rsid wsp:val=&quot;001C1523&quot;/&gt;&lt;wsp:rsid wsp:val=&quot;001C15BC&quot;/&gt;&lt;wsp:rsid wsp:val=&quot;001C1E0D&quot;/&gt;&lt;wsp:rsid wsp:val=&quot;001C3BC8&quot;/&gt;&lt;wsp:rsid wsp:val=&quot;001C42AC&quot;/&gt;&lt;wsp:rsid wsp:val=&quot;001C4611&quot;/&gt;&lt;wsp:rsid wsp:val=&quot;001C6B08&quot;/&gt;&lt;wsp:rsid wsp:val=&quot;001C6D30&quot;/&gt;&lt;wsp:rsid wsp:val=&quot;001C790E&quot;/&gt;&lt;wsp:rsid wsp:val=&quot;001D0638&quot;/&gt;&lt;wsp:rsid wsp:val=&quot;001D4BEA&quot;/&gt;&lt;wsp:rsid wsp:val=&quot;001D55D6&quot;/&gt;&lt;wsp:rsid wsp:val=&quot;001D5A11&quot;/&gt;&lt;wsp:rsid wsp:val=&quot;001D607E&quot;/&gt;&lt;wsp:rsid wsp:val=&quot;001D6748&quot;/&gt;&lt;wsp:rsid wsp:val=&quot;001D79A9&quot;/&gt;&lt;wsp:rsid wsp:val=&quot;001D7C3C&quot;/&gt;&lt;wsp:rsid wsp:val=&quot;001D7C67&quot;/&gt;&lt;wsp:rsid wsp:val=&quot;001E1222&quot;/&gt;&lt;wsp:rsid wsp:val=&quot;001E138E&quot;/&gt;&lt;wsp:rsid wsp:val=&quot;001E1BFD&quot;/&gt;&lt;wsp:rsid wsp:val=&quot;001E2077&quot;/&gt;&lt;wsp:rsid wsp:val=&quot;001E29E1&quot;/&gt;&lt;wsp:rsid wsp:val=&quot;001E448B&quot;/&gt;&lt;wsp:rsid wsp:val=&quot;001F08C3&quot;/&gt;&lt;wsp:rsid wsp:val=&quot;001F3571&quot;/&gt;&lt;wsp:rsid wsp:val=&quot;001F41F2&quot;/&gt;&lt;wsp:rsid wsp:val=&quot;001F4516&quot;/&gt;&lt;wsp:rsid wsp:val=&quot;001F4B0B&quot;/&gt;&lt;wsp:rsid wsp:val=&quot;001F59BC&quot;/&gt;&lt;wsp:rsid wsp:val=&quot;001F636A&quot;/&gt;&lt;wsp:rsid wsp:val=&quot;001F7017&quot;/&gt;&lt;wsp:rsid wsp:val=&quot;001F7537&quot;/&gt;&lt;wsp:rsid wsp:val=&quot;002011A7&quot;/&gt;&lt;wsp:rsid wsp:val=&quot;00202B1C&quot;/&gt;&lt;wsp:rsid wsp:val=&quot;00204063&quot;/&gt;&lt;wsp:rsid wsp:val=&quot;0020450D&quot;/&gt;&lt;wsp:rsid wsp:val=&quot;002046CA&quot;/&gt;&lt;wsp:rsid wsp:val=&quot;00206BCF&quot;/&gt;&lt;wsp:rsid wsp:val=&quot;0020720C&quot;/&gt;&lt;wsp:rsid wsp:val=&quot;00207244&quot;/&gt;&lt;wsp:rsid wsp:val=&quot;00210250&quot;/&gt;&lt;wsp:rsid wsp:val=&quot;00210589&quot;/&gt;&lt;wsp:rsid wsp:val=&quot;00211156&quot;/&gt;&lt;wsp:rsid wsp:val=&quot;002118E0&quot;/&gt;&lt;wsp:rsid wsp:val=&quot;00212B1F&quot;/&gt;&lt;wsp:rsid wsp:val=&quot;00213702&quot;/&gt;&lt;wsp:rsid wsp:val=&quot;002138E5&quot;/&gt;&lt;wsp:rsid wsp:val=&quot;0021456C&quot;/&gt;&lt;wsp:rsid wsp:val=&quot;00216B34&quot;/&gt;&lt;wsp:rsid wsp:val=&quot;00216DD0&quot;/&gt;&lt;wsp:rsid wsp:val=&quot;0022122A&quot;/&gt;&lt;wsp:rsid wsp:val=&quot;00224C95&quot;/&gt;&lt;wsp:rsid wsp:val=&quot;00227F9E&quot;/&gt;&lt;wsp:rsid wsp:val=&quot;00230E2F&quot;/&gt;&lt;wsp:rsid wsp:val=&quot;002310B8&quot;/&gt;&lt;wsp:rsid wsp:val=&quot;00231974&quot;/&gt;&lt;wsp:rsid wsp:val=&quot;00233A54&quot;/&gt;&lt;wsp:rsid wsp:val=&quot;00234896&quot;/&gt;&lt;wsp:rsid wsp:val=&quot;00234E9E&quot;/&gt;&lt;wsp:rsid wsp:val=&quot;0023756C&quot;/&gt;&lt;wsp:rsid wsp:val=&quot;0024278B&quot;/&gt;&lt;wsp:rsid wsp:val=&quot;0025035C&quot;/&gt;&lt;wsp:rsid wsp:val=&quot;0025092E&quot;/&gt;&lt;wsp:rsid wsp:val=&quot;00251259&quot;/&gt;&lt;wsp:rsid wsp:val=&quot;002518A3&quot;/&gt;&lt;wsp:rsid wsp:val=&quot;00253143&quot;/&gt;&lt;wsp:rsid wsp:val=&quot;0025559B&quot;/&gt;&lt;wsp:rsid wsp:val=&quot;002562E8&quot;/&gt;&lt;wsp:rsid wsp:val=&quot;00260257&quot;/&gt;&lt;wsp:rsid wsp:val=&quot;0026536B&quot;/&gt;&lt;wsp:rsid wsp:val=&quot;00265FA6&quot;/&gt;&lt;wsp:rsid wsp:val=&quot;00266441&quot;/&gt;&lt;wsp:rsid wsp:val=&quot;00267C86&quot;/&gt;&lt;wsp:rsid wsp:val=&quot;002704ED&quot;/&gt;&lt;wsp:rsid wsp:val=&quot;0027119E&quot;/&gt;&lt;wsp:rsid wsp:val=&quot;00272A6F&quot;/&gt;&lt;wsp:rsid wsp:val=&quot;00273251&quot;/&gt;&lt;wsp:rsid wsp:val=&quot;00273AF3&quot;/&gt;&lt;wsp:rsid wsp:val=&quot;002746DA&quot;/&gt;&lt;wsp:rsid wsp:val=&quot;00276024&quot;/&gt;&lt;wsp:rsid wsp:val=&quot;00284538&quot;/&gt;&lt;wsp:rsid wsp:val=&quot;00286388&quot;/&gt;&lt;wsp:rsid wsp:val=&quot;00291EFF&quot;/&gt;&lt;wsp:rsid wsp:val=&quot;002921D3&quot;/&gt;&lt;wsp:rsid wsp:val=&quot;0029393D&quot;/&gt;&lt;wsp:rsid wsp:val=&quot;002940E5&quot;/&gt;&lt;wsp:rsid wsp:val=&quot;00294650&quot;/&gt;&lt;wsp:rsid wsp:val=&quot;00295B5C&quot;/&gt;&lt;wsp:rsid wsp:val=&quot;002A0CDB&quot;/&gt;&lt;wsp:rsid wsp:val=&quot;002A239F&quot;/&gt;&lt;wsp:rsid wsp:val=&quot;002A261E&quot;/&gt;&lt;wsp:rsid wsp:val=&quot;002A4CD3&quot;/&gt;&lt;wsp:rsid wsp:val=&quot;002A55BA&quot;/&gt;&lt;wsp:rsid wsp:val=&quot;002A7455&quot;/&gt;&lt;wsp:rsid wsp:val=&quot;002B1443&quot;/&gt;&lt;wsp:rsid wsp:val=&quot;002B2C80&quot;/&gt;&lt;wsp:rsid wsp:val=&quot;002B39AC&quot;/&gt;&lt;wsp:rsid wsp:val=&quot;002B3FDA&quot;/&gt;&lt;wsp:rsid wsp:val=&quot;002B48E4&quot;/&gt;&lt;wsp:rsid wsp:val=&quot;002C2B0A&quot;/&gt;&lt;wsp:rsid wsp:val=&quot;002C2BC6&quot;/&gt;&lt;wsp:rsid wsp:val=&quot;002C3442&quot;/&gt;&lt;wsp:rsid wsp:val=&quot;002C4353&quot;/&gt;&lt;wsp:rsid wsp:val=&quot;002C43AD&quot;/&gt;&lt;wsp:rsid wsp:val=&quot;002C4DD7&quot;/&gt;&lt;wsp:rsid wsp:val=&quot;002C6C2D&quot;/&gt;&lt;wsp:rsid wsp:val=&quot;002D0251&quot;/&gt;&lt;wsp:rsid wsp:val=&quot;002D1CE2&quot;/&gt;&lt;wsp:rsid wsp:val=&quot;002D3C38&quot;/&gt;&lt;wsp:rsid wsp:val=&quot;002E1FF2&quot;/&gt;&lt;wsp:rsid wsp:val=&quot;002E2180&quot;/&gt;&lt;wsp:rsid wsp:val=&quot;002E46D4&quot;/&gt;&lt;wsp:rsid wsp:val=&quot;002E5487&quot;/&gt;&lt;wsp:rsid wsp:val=&quot;002E676C&quot;/&gt;&lt;wsp:rsid wsp:val=&quot;002E79EE&quot;/&gt;&lt;wsp:rsid wsp:val=&quot;002F111A&quot;/&gt;&lt;wsp:rsid wsp:val=&quot;002F142F&quot;/&gt;&lt;wsp:rsid wsp:val=&quot;002F39A9&quot;/&gt;&lt;wsp:rsid wsp:val=&quot;002F600E&quot;/&gt;&lt;wsp:rsid wsp:val=&quot;002F788F&quot;/&gt;&lt;wsp:rsid wsp:val=&quot;003008CB&quot;/&gt;&lt;wsp:rsid wsp:val=&quot;00303A15&quot;/&gt;&lt;wsp:rsid wsp:val=&quot;003057C6&quot;/&gt;&lt;wsp:rsid wsp:val=&quot;00313844&quot;/&gt;&lt;wsp:rsid wsp:val=&quot;00315625&quot;/&gt;&lt;wsp:rsid wsp:val=&quot;00315FA8&quot;/&gt;&lt;wsp:rsid wsp:val=&quot;00317FC0&quot;/&gt;&lt;wsp:rsid wsp:val=&quot;00320118&quot;/&gt;&lt;wsp:rsid wsp:val=&quot;003226EB&quot;/&gt;&lt;wsp:rsid wsp:val=&quot;00324F8B&quot;/&gt;&lt;wsp:rsid wsp:val=&quot;0032614A&quot;/&gt;&lt;wsp:rsid wsp:val=&quot;00327AC3&quot;/&gt;&lt;wsp:rsid wsp:val=&quot;00330607&quot;/&gt;&lt;wsp:rsid wsp:val=&quot;0033097D&quot;/&gt;&lt;wsp:rsid wsp:val=&quot;003340B9&quot;/&gt;&lt;wsp:rsid wsp:val=&quot;003350B6&quot;/&gt;&lt;wsp:rsid wsp:val=&quot;00336E28&quot;/&gt;&lt;wsp:rsid wsp:val=&quot;0033703B&quot;/&gt;&lt;wsp:rsid wsp:val=&quot;00337875&quot;/&gt;&lt;wsp:rsid wsp:val=&quot;00337F8F&quot;/&gt;&lt;wsp:rsid wsp:val=&quot;0034006B&quot;/&gt;&lt;wsp:rsid wsp:val=&quot;00340E02&quot;/&gt;&lt;wsp:rsid wsp:val=&quot;003411E3&quot;/&gt;&lt;wsp:rsid wsp:val=&quot;00341CC3&quot;/&gt;&lt;wsp:rsid wsp:val=&quot;003422B6&quot;/&gt;&lt;wsp:rsid wsp:val=&quot;00344952&quot;/&gt;&lt;wsp:rsid wsp:val=&quot;00346E8D&quot;/&gt;&lt;wsp:rsid wsp:val=&quot;0035047C&quot;/&gt;&lt;wsp:rsid wsp:val=&quot;003530C1&quot;/&gt;&lt;wsp:rsid wsp:val=&quot;00353347&quot;/&gt;&lt;wsp:rsid wsp:val=&quot;0035429A&quot;/&gt;&lt;wsp:rsid wsp:val=&quot;00354686&quot;/&gt;&lt;wsp:rsid wsp:val=&quot;0035608C&quot;/&gt;&lt;wsp:rsid wsp:val=&quot;003602A5&quot;/&gt;&lt;wsp:rsid wsp:val=&quot;00360899&quot;/&gt;&lt;wsp:rsid wsp:val=&quot;00361ACE&quot;/&gt;&lt;wsp:rsid wsp:val=&quot;00363541&quot;/&gt;&lt;wsp:rsid wsp:val=&quot;003638A7&quot;/&gt;&lt;wsp:rsid wsp:val=&quot;0037305C&quot;/&gt;&lt;wsp:rsid wsp:val=&quot;0037558E&quot;/&gt;&lt;wsp:rsid wsp:val=&quot;00376F6D&quot;/&gt;&lt;wsp:rsid wsp:val=&quot;00381472&quot;/&gt;&lt;wsp:rsid wsp:val=&quot;00383AE1&quot;/&gt;&lt;wsp:rsid wsp:val=&quot;00387083&quot;/&gt;&lt;wsp:rsid wsp:val=&quot;00391122&quot;/&gt;&lt;wsp:rsid wsp:val=&quot;00391A62&quot;/&gt;&lt;wsp:rsid wsp:val=&quot;00392356&quot;/&gt;&lt;wsp:rsid wsp:val=&quot;003929A1&quot;/&gt;&lt;wsp:rsid wsp:val=&quot;00393282&quot;/&gt;&lt;wsp:rsid wsp:val=&quot;003955BA&quot;/&gt;&lt;wsp:rsid wsp:val=&quot;0039561D&quot;/&gt;&lt;wsp:rsid wsp:val=&quot;0039756C&quot;/&gt;&lt;wsp:rsid wsp:val=&quot;00397986&quot;/&gt;&lt;wsp:rsid wsp:val=&quot;003A0E6A&quot;/&gt;&lt;wsp:rsid wsp:val=&quot;003A40EC&quot;/&gt;&lt;wsp:rsid wsp:val=&quot;003A579F&quot;/&gt;&lt;wsp:rsid wsp:val=&quot;003B056E&quot;/&gt;&lt;wsp:rsid wsp:val=&quot;003B0A2E&quot;/&gt;&lt;wsp:rsid wsp:val=&quot;003B1CA7&quot;/&gt;&lt;wsp:rsid wsp:val=&quot;003B3BD3&quot;/&gt;&lt;wsp:rsid wsp:val=&quot;003B4BD3&quot;/&gt;&lt;wsp:rsid wsp:val=&quot;003B5449&quot;/&gt;&lt;wsp:rsid wsp:val=&quot;003B63BC&quot;/&gt;&lt;wsp:rsid wsp:val=&quot;003C1591&quot;/&gt;&lt;wsp:rsid wsp:val=&quot;003C1D18&quot;/&gt;&lt;wsp:rsid wsp:val=&quot;003C22B0&quot;/&gt;&lt;wsp:rsid wsp:val=&quot;003C4E1D&quot;/&gt;&lt;wsp:rsid wsp:val=&quot;003C5758&quot;/&gt;&lt;wsp:rsid wsp:val=&quot;003C6226&quot;/&gt;&lt;wsp:rsid wsp:val=&quot;003C6E98&quot;/&gt;&lt;wsp:rsid wsp:val=&quot;003D03E7&quot;/&gt;&lt;wsp:rsid wsp:val=&quot;003D0965&quot;/&gt;&lt;wsp:rsid wsp:val=&quot;003D14C1&quot;/&gt;&lt;wsp:rsid wsp:val=&quot;003D2E1D&quot;/&gt;&lt;wsp:rsid wsp:val=&quot;003D5FA3&quot;/&gt;&lt;wsp:rsid wsp:val=&quot;003D6058&quot;/&gt;&lt;wsp:rsid wsp:val=&quot;003E20C5&quot;/&gt;&lt;wsp:rsid wsp:val=&quot;003E2432&quot;/&gt;&lt;wsp:rsid wsp:val=&quot;003E434F&quot;/&gt;&lt;wsp:rsid wsp:val=&quot;003E603A&quot;/&gt;&lt;wsp:rsid wsp:val=&quot;003F073B&quot;/&gt;&lt;wsp:rsid wsp:val=&quot;003F3F10&quot;/&gt;&lt;wsp:rsid wsp:val=&quot;003F5A41&quot;/&gt;&lt;wsp:rsid wsp:val=&quot;003F6211&quot;/&gt;&lt;wsp:rsid wsp:val=&quot;003F7B94&quot;/&gt;&lt;wsp:rsid wsp:val=&quot;00400050&quot;/&gt;&lt;wsp:rsid wsp:val=&quot;00403792&quot;/&gt;&lt;wsp:rsid wsp:val=&quot;00403F09&quot;/&gt;&lt;wsp:rsid wsp:val=&quot;00403F13&quot;/&gt;&lt;wsp:rsid wsp:val=&quot;00404FA1&quot;/&gt;&lt;wsp:rsid wsp:val=&quot;0040642E&quot;/&gt;&lt;wsp:rsid wsp:val=&quot;004076AE&quot;/&gt;&lt;wsp:rsid wsp:val=&quot;00411D7E&quot;/&gt;&lt;wsp:rsid wsp:val=&quot;00412338&quot;/&gt;&lt;wsp:rsid wsp:val=&quot;00413CB6&quot;/&gt;&lt;wsp:rsid wsp:val=&quot;00415D86&quot;/&gt;&lt;wsp:rsid wsp:val=&quot;004178E4&quot;/&gt;&lt;wsp:rsid wsp:val=&quot;00421235&quot;/&gt;&lt;wsp:rsid wsp:val=&quot;004219DD&quot;/&gt;&lt;wsp:rsid wsp:val=&quot;00424EC2&quot;/&gt;&lt;wsp:rsid wsp:val=&quot;004269C8&quot;/&gt;&lt;wsp:rsid wsp:val=&quot;00426A26&quot;/&gt;&lt;wsp:rsid wsp:val=&quot;00427BCD&quot;/&gt;&lt;wsp:rsid wsp:val=&quot;004364DD&quot;/&gt;&lt;wsp:rsid wsp:val=&quot;00440A33&quot;/&gt;&lt;wsp:rsid wsp:val=&quot;00442C0B&quot;/&gt;&lt;wsp:rsid wsp:val=&quot;00443680&quot;/&gt;&lt;wsp:rsid wsp:val=&quot;004445DC&quot;/&gt;&lt;wsp:rsid wsp:val=&quot;0044615D&quot;/&gt;&lt;wsp:rsid wsp:val=&quot;00447435&quot;/&gt;&lt;wsp:rsid wsp:val=&quot;00447B6C&quot;/&gt;&lt;wsp:rsid wsp:val=&quot;0045233C&quot;/&gt;&lt;wsp:rsid wsp:val=&quot;00452563&quot;/&gt;&lt;wsp:rsid wsp:val=&quot;0045469E&quot;/&gt;&lt;wsp:rsid wsp:val=&quot;00457124&quot;/&gt;&lt;wsp:rsid wsp:val=&quot;00457482&quot;/&gt;&lt;wsp:rsid wsp:val=&quot;00460DFC&quot;/&gt;&lt;wsp:rsid wsp:val=&quot;00462D80&quot;/&gt;&lt;wsp:rsid wsp:val=&quot;00467566&quot;/&gt;&lt;wsp:rsid wsp:val=&quot;004679BE&quot;/&gt;&lt;wsp:rsid wsp:val=&quot;00467EBA&quot;/&gt;&lt;wsp:rsid wsp:val=&quot;004706C7&quot;/&gt;&lt;wsp:rsid wsp:val=&quot;00470C44&quot;/&gt;&lt;wsp:rsid wsp:val=&quot;0047232D&quot;/&gt;&lt;wsp:rsid wsp:val=&quot;00472472&quot;/&gt;&lt;wsp:rsid wsp:val=&quot;00472E6E&quot;/&gt;&lt;wsp:rsid wsp:val=&quot;00472F98&quot;/&gt;&lt;wsp:rsid wsp:val=&quot;00473637&quot;/&gt;&lt;wsp:rsid wsp:val=&quot;0047401C&quot;/&gt;&lt;wsp:rsid wsp:val=&quot;00474CAB&quot;/&gt;&lt;wsp:rsid wsp:val=&quot;004758D5&quot;/&gt;&lt;wsp:rsid wsp:val=&quot;00475EB3&quot;/&gt;&lt;wsp:rsid wsp:val=&quot;00476223&quot;/&gt;&lt;wsp:rsid wsp:val=&quot;00477065&quot;/&gt;&lt;wsp:rsid wsp:val=&quot;00477790&quot;/&gt;&lt;wsp:rsid wsp:val=&quot;0048760D&quot;/&gt;&lt;wsp:rsid wsp:val=&quot;004904E6&quot;/&gt;&lt;wsp:rsid wsp:val=&quot;00490844&quot;/&gt;&lt;wsp:rsid wsp:val=&quot;00491F6F&quot;/&gt;&lt;wsp:rsid wsp:val=&quot;00493B09&quot;/&gt;&lt;wsp:rsid wsp:val=&quot;00493F5C&quot;/&gt;&lt;wsp:rsid wsp:val=&quot;00494506&quot;/&gt;&lt;wsp:rsid wsp:val=&quot;0049556E&quot;/&gt;&lt;wsp:rsid wsp:val=&quot;004969F4&quot;/&gt;&lt;wsp:rsid wsp:val=&quot;00497BA4&quot;/&gt;&lt;wsp:rsid wsp:val=&quot;004A1CF3&quot;/&gt;&lt;wsp:rsid wsp:val=&quot;004A2196&quot;/&gt;&lt;wsp:rsid wsp:val=&quot;004A22D2&quot;/&gt;&lt;wsp:rsid wsp:val=&quot;004A2E53&quot;/&gt;&lt;wsp:rsid wsp:val=&quot;004A4B46&quot;/&gt;&lt;wsp:rsid wsp:val=&quot;004A5C83&quot;/&gt;&lt;wsp:rsid wsp:val=&quot;004B0D13&quot;/&gt;&lt;wsp:rsid wsp:val=&quot;004B10C3&quot;/&gt;&lt;wsp:rsid wsp:val=&quot;004B2C17&quot;/&gt;&lt;wsp:rsid wsp:val=&quot;004B5A79&quot;/&gt;&lt;wsp:rsid wsp:val=&quot;004B6068&quot;/&gt;&lt;wsp:rsid wsp:val=&quot;004B7B40&quot;/&gt;&lt;wsp:rsid wsp:val=&quot;004C0347&quot;/&gt;&lt;wsp:rsid wsp:val=&quot;004C0352&quot;/&gt;&lt;wsp:rsid wsp:val=&quot;004C3350&quot;/&gt;&lt;wsp:rsid wsp:val=&quot;004C36F8&quot;/&gt;&lt;wsp:rsid wsp:val=&quot;004C4F3E&quot;/&gt;&lt;wsp:rsid wsp:val=&quot;004C5213&quot;/&gt;&lt;wsp:rsid wsp:val=&quot;004D509A&quot;/&gt;&lt;wsp:rsid wsp:val=&quot;004D7F2F&quot;/&gt;&lt;wsp:rsid wsp:val=&quot;004D7F48&quot;/&gt;&lt;wsp:rsid wsp:val=&quot;004E0F07&quot;/&gt;&lt;wsp:rsid wsp:val=&quot;004E4433&quot;/&gt;&lt;wsp:rsid wsp:val=&quot;004E5A0D&quot;/&gt;&lt;wsp:rsid wsp:val=&quot;004E610E&quot;/&gt;&lt;wsp:rsid wsp:val=&quot;004E6AA4&quot;/&gt;&lt;wsp:rsid wsp:val=&quot;004F012F&quot;/&gt;&lt;wsp:rsid wsp:val=&quot;004F1D55&quot;/&gt;&lt;wsp:rsid wsp:val=&quot;004F2925&quot;/&gt;&lt;wsp:rsid wsp:val=&quot;004F292D&quot;/&gt;&lt;wsp:rsid wsp:val=&quot;004F43F2&quot;/&gt;&lt;wsp:rsid wsp:val=&quot;004F51C9&quot;/&gt;&lt;wsp:rsid wsp:val=&quot;004F75C5&quot;/&gt;&lt;wsp:rsid wsp:val=&quot;004F7AA8&quot;/&gt;&lt;wsp:rsid wsp:val=&quot;004F7C92&quot;/&gt;&lt;wsp:rsid wsp:val=&quot;005016F5&quot;/&gt;&lt;wsp:rsid wsp:val=&quot;00501F31&quot;/&gt;&lt;wsp:rsid wsp:val=&quot;00502ED7&quot;/&gt;&lt;wsp:rsid wsp:val=&quot;00503949&quot;/&gt;&lt;wsp:rsid wsp:val=&quot;00503D98&quot;/&gt;&lt;wsp:rsid wsp:val=&quot;005049B3&quot;/&gt;&lt;wsp:rsid wsp:val=&quot;005061B1&quot;/&gt;&lt;wsp:rsid wsp:val=&quot;00506331&quot;/&gt;&lt;wsp:rsid wsp:val=&quot;005064FC&quot;/&gt;&lt;wsp:rsid wsp:val=&quot;005102A1&quot;/&gt;&lt;wsp:rsid wsp:val=&quot;00512F5E&quot;/&gt;&lt;wsp:rsid wsp:val=&quot;00514420&quot;/&gt;&lt;wsp:rsid wsp:val=&quot;005169C8&quot;/&gt;&lt;wsp:rsid wsp:val=&quot;00516F5A&quot;/&gt;&lt;wsp:rsid wsp:val=&quot;005227AB&quot;/&gt;&lt;wsp:rsid wsp:val=&quot;00525B25&quot;/&gt;&lt;wsp:rsid wsp:val=&quot;00525B88&quot;/&gt;&lt;wsp:rsid wsp:val=&quot;0052739B&quot;/&gt;&lt;wsp:rsid wsp:val=&quot;00527A0E&quot;/&gt;&lt;wsp:rsid wsp:val=&quot;00531D82&quot;/&gt;&lt;wsp:rsid wsp:val=&quot;005330A6&quot;/&gt;&lt;wsp:rsid wsp:val=&quot;005331EF&quot;/&gt;&lt;wsp:rsid wsp:val=&quot;005334D5&quot;/&gt;&lt;wsp:rsid wsp:val=&quot;00535F3E&quot;/&gt;&lt;wsp:rsid wsp:val=&quot;00536729&quot;/&gt;&lt;wsp:rsid wsp:val=&quot;00537808&quot;/&gt;&lt;wsp:rsid wsp:val=&quot;005407BE&quot;/&gt;&lt;wsp:rsid wsp:val=&quot;00540E0D&quot;/&gt;&lt;wsp:rsid wsp:val=&quot;0054184F&quot;/&gt;&lt;wsp:rsid wsp:val=&quot;00541DD8&quot;/&gt;&lt;wsp:rsid wsp:val=&quot;00551A6F&quot;/&gt;&lt;wsp:rsid wsp:val=&quot;0055203A&quot;/&gt;&lt;wsp:rsid wsp:val=&quot;005539F3&quot;/&gt;&lt;wsp:rsid wsp:val=&quot;00554A26&quot;/&gt;&lt;wsp:rsid wsp:val=&quot;00556B50&quot;/&gt;&lt;wsp:rsid wsp:val=&quot;005604AA&quot;/&gt;&lt;wsp:rsid wsp:val=&quot;00560E7A&quot;/&gt;&lt;wsp:rsid wsp:val=&quot;00561213&quot;/&gt;&lt;wsp:rsid wsp:val=&quot;005650E5&quot;/&gt;&lt;wsp:rsid wsp:val=&quot;00565BDE&quot;/&gt;&lt;wsp:rsid wsp:val=&quot;00565E2B&quot;/&gt;&lt;wsp:rsid wsp:val=&quot;0056666A&quot;/&gt;&lt;wsp:rsid wsp:val=&quot;00567BC7&quot;/&gt;&lt;wsp:rsid wsp:val=&quot;00571284&quot;/&gt;&lt;wsp:rsid wsp:val=&quot;005713E6&quot;/&gt;&lt;wsp:rsid wsp:val=&quot;00571E47&quot;/&gt;&lt;wsp:rsid wsp:val=&quot;00574060&quot;/&gt;&lt;wsp:rsid wsp:val=&quot;00574A68&quot;/&gt;&lt;wsp:rsid wsp:val=&quot;00581D08&quot;/&gt;&lt;wsp:rsid wsp:val=&quot;00585C31&quot;/&gt;&lt;wsp:rsid wsp:val=&quot;00586904&quot;/&gt;&lt;wsp:rsid wsp:val=&quot;00586B96&quot;/&gt;&lt;wsp:rsid wsp:val=&quot;00592F76&quot;/&gt;&lt;wsp:rsid wsp:val=&quot;00593829&quot;/&gt;&lt;wsp:rsid wsp:val=&quot;00593E13&quot;/&gt;&lt;wsp:rsid wsp:val=&quot;005944FC&quot;/&gt;&lt;wsp:rsid wsp:val=&quot;005A58E2&quot;/&gt;&lt;wsp:rsid wsp:val=&quot;005A69F2&quot;/&gt;&lt;wsp:rsid wsp:val=&quot;005B05D5&quot;/&gt;&lt;wsp:rsid wsp:val=&quot;005B0AEF&quot;/&gt;&lt;wsp:rsid wsp:val=&quot;005B0DEC&quot;/&gt;&lt;wsp:rsid wsp:val=&quot;005B0FFB&quot;/&gt;&lt;wsp:rsid wsp:val=&quot;005B4312&quot;/&gt;&lt;wsp:rsid wsp:val=&quot;005B5291&quot;/&gt;&lt;wsp:rsid wsp:val=&quot;005B6FB7&quot;/&gt;&lt;wsp:rsid wsp:val=&quot;005B7789&quot;/&gt;&lt;wsp:rsid wsp:val=&quot;005B7BD0&quot;/&gt;&lt;wsp:rsid wsp:val=&quot;005C0191&quot;/&gt;&lt;wsp:rsid wsp:val=&quot;005C040D&quot;/&gt;&lt;wsp:rsid wsp:val=&quot;005C1E2D&quot;/&gt;&lt;wsp:rsid wsp:val=&quot;005C4DAB&quot;/&gt;&lt;wsp:rsid wsp:val=&quot;005C5CE9&quot;/&gt;&lt;wsp:rsid wsp:val=&quot;005C7128&quot;/&gt;&lt;wsp:rsid wsp:val=&quot;005D3C6D&quot;/&gt;&lt;wsp:rsid wsp:val=&quot;005D6F98&quot;/&gt;&lt;wsp:rsid wsp:val=&quot;005D7418&quot;/&gt;&lt;wsp:rsid wsp:val=&quot;005D7918&quot;/&gt;&lt;wsp:rsid wsp:val=&quot;005E064F&quot;/&gt;&lt;wsp:rsid wsp:val=&quot;005E0C59&quot;/&gt;&lt;wsp:rsid wsp:val=&quot;005E2EBB&quot;/&gt;&lt;wsp:rsid wsp:val=&quot;005E360E&quot;/&gt;&lt;wsp:rsid wsp:val=&quot;005E4CB3&quot;/&gt;&lt;wsp:rsid wsp:val=&quot;005E5BB1&quot;/&gt;&lt;wsp:rsid wsp:val=&quot;005E7176&quot;/&gt;&lt;wsp:rsid wsp:val=&quot;005F089F&quot;/&gt;&lt;wsp:rsid wsp:val=&quot;005F0A70&quot;/&gt;&lt;wsp:rsid wsp:val=&quot;005F2367&quot;/&gt;&lt;wsp:rsid wsp:val=&quot;005F3CAF&quot;/&gt;&lt;wsp:rsid wsp:val=&quot;005F6683&quot;/&gt;&lt;wsp:rsid wsp:val=&quot;005F6CD7&quot;/&gt;&lt;wsp:rsid wsp:val=&quot;00600AD7&quot;/&gt;&lt;wsp:rsid wsp:val=&quot;006112EC&quot;/&gt;&lt;wsp:rsid wsp:val=&quot;00613C08&quot;/&gt;&lt;wsp:rsid wsp:val=&quot;006161A0&quot;/&gt;&lt;wsp:rsid wsp:val=&quot;006179BD&quot;/&gt;&lt;wsp:rsid wsp:val=&quot;00620803&quot;/&gt;&lt;wsp:rsid wsp:val=&quot;00620F09&quot;/&gt;&lt;wsp:rsid wsp:val=&quot;006223D0&quot;/&gt;&lt;wsp:rsid wsp:val=&quot;00633C61&quot;/&gt;&lt;wsp:rsid wsp:val=&quot;006345E1&quot;/&gt;&lt;wsp:rsid wsp:val=&quot;00634D3C&quot;/&gt;&lt;wsp:rsid wsp:val=&quot;00635DB1&quot;/&gt;&lt;wsp:rsid wsp:val=&quot;00636B08&quot;/&gt;&lt;wsp:rsid wsp:val=&quot;006379E5&quot;/&gt;&lt;wsp:rsid wsp:val=&quot;00640521&quot;/&gt;&lt;wsp:rsid wsp:val=&quot;00642432&quot;/&gt;&lt;wsp:rsid wsp:val=&quot;00642DF6&quot;/&gt;&lt;wsp:rsid wsp:val=&quot;00644C10&quot;/&gt;&lt;wsp:rsid wsp:val=&quot;0064755E&quot;/&gt;&lt;wsp:rsid wsp:val=&quot;00647C8E&quot;/&gt;&lt;wsp:rsid wsp:val=&quot;006504C2&quot;/&gt;&lt;wsp:rsid wsp:val=&quot;00652295&quot;/&gt;&lt;wsp:rsid wsp:val=&quot;00657C66&quot;/&gt;&lt;wsp:rsid wsp:val=&quot;0066065B&quot;/&gt;&lt;wsp:rsid wsp:val=&quot;006630CA&quot;/&gt;&lt;wsp:rsid wsp:val=&quot;006673D6&quot;/&gt;&lt;wsp:rsid wsp:val=&quot;0067150E&quot;/&gt;&lt;wsp:rsid wsp:val=&quot;006719C5&quot;/&gt;&lt;wsp:rsid wsp:val=&quot;00673AA1&quot;/&gt;&lt;wsp:rsid wsp:val=&quot;00673B3F&quot;/&gt;&lt;wsp:rsid wsp:val=&quot;00675283&quot;/&gt;&lt;wsp:rsid wsp:val=&quot;00676C18&quot;/&gt;&lt;wsp:rsid wsp:val=&quot;00677370&quot;/&gt;&lt;wsp:rsid wsp:val=&quot;00680C23&quot;/&gt;&lt;wsp:rsid wsp:val=&quot;00681AB4&quot;/&gt;&lt;wsp:rsid wsp:val=&quot;00681B65&quot;/&gt;&lt;wsp:rsid wsp:val=&quot;00683673&quot;/&gt;&lt;wsp:rsid wsp:val=&quot;00683963&quot;/&gt;&lt;wsp:rsid wsp:val=&quot;00683AEF&quot;/&gt;&lt;wsp:rsid wsp:val=&quot;00684B76&quot;/&gt;&lt;wsp:rsid wsp:val=&quot;006850B0&quot;/&gt;&lt;wsp:rsid wsp:val=&quot;006922AD&quot;/&gt;&lt;wsp:rsid wsp:val=&quot;0069363B&quot;/&gt;&lt;wsp:rsid wsp:val=&quot;00696469&quot;/&gt;&lt;wsp:rsid wsp:val=&quot;00697D92&quot;/&gt;&lt;wsp:rsid wsp:val=&quot;006A2B7A&quot;/&gt;&lt;wsp:rsid wsp:val=&quot;006A2E94&quot;/&gt;&lt;wsp:rsid wsp:val=&quot;006A737D&quot;/&gt;&lt;wsp:rsid wsp:val=&quot;006A7D08&quot;/&gt;&lt;wsp:rsid wsp:val=&quot;006B2642&quot;/&gt;&lt;wsp:rsid wsp:val=&quot;006B2696&quot;/&gt;&lt;wsp:rsid wsp:val=&quot;006B29AD&quot;/&gt;&lt;wsp:rsid wsp:val=&quot;006B5C33&quot;/&gt;&lt;wsp:rsid wsp:val=&quot;006C088D&quot;/&gt;&lt;wsp:rsid wsp:val=&quot;006C1A11&quot;/&gt;&lt;wsp:rsid wsp:val=&quot;006C1B77&quot;/&gt;&lt;wsp:rsid wsp:val=&quot;006C1C42&quot;/&gt;&lt;wsp:rsid wsp:val=&quot;006C1D5A&quot;/&gt;&lt;wsp:rsid wsp:val=&quot;006C560D&quot;/&gt;&lt;wsp:rsid wsp:val=&quot;006C6328&quot;/&gt;&lt;wsp:rsid wsp:val=&quot;006C6710&quot;/&gt;&lt;wsp:rsid wsp:val=&quot;006D059D&quot;/&gt;&lt;wsp:rsid wsp:val=&quot;006D0DC4&quot;/&gt;&lt;wsp:rsid wsp:val=&quot;006D13D1&quot;/&gt;&lt;wsp:rsid wsp:val=&quot;006D278F&quot;/&gt;&lt;wsp:rsid wsp:val=&quot;006D3151&quot;/&gt;&lt;wsp:rsid wsp:val=&quot;006D47F9&quot;/&gt;&lt;wsp:rsid wsp:val=&quot;006D5126&quot;/&gt;&lt;wsp:rsid wsp:val=&quot;006D674C&quot;/&gt;&lt;wsp:rsid wsp:val=&quot;006D6A89&quot;/&gt;&lt;wsp:rsid wsp:val=&quot;006E4240&quot;/&gt;&lt;wsp:rsid wsp:val=&quot;006E7AA5&quot;/&gt;&lt;wsp:rsid wsp:val=&quot;006F230B&quot;/&gt;&lt;wsp:rsid wsp:val=&quot;007025FC&quot;/&gt;&lt;wsp:rsid wsp:val=&quot;00703529&quot;/&gt;&lt;wsp:rsid wsp:val=&quot;00703F92&quot;/&gt;&lt;wsp:rsid wsp:val=&quot;007052CF&quot;/&gt;&lt;wsp:rsid wsp:val=&quot;00706B59&quot;/&gt;&lt;wsp:rsid wsp:val=&quot;0070757A&quot;/&gt;&lt;wsp:rsid wsp:val=&quot;00710293&quot;/&gt;&lt;wsp:rsid wsp:val=&quot;00710B1C&quot;/&gt;&lt;wsp:rsid wsp:val=&quot;00711D5E&quot;/&gt;&lt;wsp:rsid wsp:val=&quot;007153E2&quot;/&gt;&lt;wsp:rsid wsp:val=&quot;00715FB5&quot;/&gt;&lt;wsp:rsid wsp:val=&quot;00717C96&quot;/&gt;&lt;wsp:rsid wsp:val=&quot;00721D17&quot;/&gt;&lt;wsp:rsid wsp:val=&quot;0072583B&quot;/&gt;&lt;wsp:rsid wsp:val=&quot;0072642B&quot;/&gt;&lt;wsp:rsid wsp:val=&quot;00732560&quot;/&gt;&lt;wsp:rsid wsp:val=&quot;00732BC1&quot;/&gt;&lt;wsp:rsid wsp:val=&quot;00734EFA&quot;/&gt;&lt;wsp:rsid wsp:val=&quot;00737368&quot;/&gt;&lt;wsp:rsid wsp:val=&quot;00737BCF&quot;/&gt;&lt;wsp:rsid wsp:val=&quot;007425CB&quot;/&gt;&lt;wsp:rsid wsp:val=&quot;0074445A&quot;/&gt;&lt;wsp:rsid wsp:val=&quot;00745E6F&quot;/&gt;&lt;wsp:rsid wsp:val=&quot;0074788C&quot;/&gt;&lt;wsp:rsid wsp:val=&quot;0075102A&quot;/&gt;&lt;wsp:rsid wsp:val=&quot;0075138A&quot;/&gt;&lt;wsp:rsid wsp:val=&quot;00751AFF&quot;/&gt;&lt;wsp:rsid wsp:val=&quot;007527E7&quot;/&gt;&lt;wsp:rsid wsp:val=&quot;0075310A&quot;/&gt;&lt;wsp:rsid wsp:val=&quot;00756968&quot;/&gt;&lt;wsp:rsid wsp:val=&quot;007571A3&quot;/&gt;&lt;wsp:rsid wsp:val=&quot;007571B8&quot;/&gt;&lt;wsp:rsid wsp:val=&quot;00757C93&quot;/&gt;&lt;wsp:rsid wsp:val=&quot;00761E06&quot;/&gt;&lt;wsp:rsid wsp:val=&quot;00763D7E&quot;/&gt;&lt;wsp:rsid wsp:val=&quot;00764CEB&quot;/&gt;&lt;wsp:rsid wsp:val=&quot;00764F69&quot;/&gt;&lt;wsp:rsid wsp:val=&quot;00765016&quot;/&gt;&lt;wsp:rsid wsp:val=&quot;007661AB&quot;/&gt;&lt;wsp:rsid wsp:val=&quot;007710A7&quot;/&gt;&lt;wsp:rsid wsp:val=&quot;00771B13&quot;/&gt;&lt;wsp:rsid wsp:val=&quot;00771BB5&quot;/&gt;&lt;wsp:rsid wsp:val=&quot;00773485&quot;/&gt;&lt;wsp:rsid wsp:val=&quot;00775569&quot;/&gt;&lt;wsp:rsid wsp:val=&quot;00780D63&quot;/&gt;&lt;wsp:rsid wsp:val=&quot;00781914&quot;/&gt;&lt;wsp:rsid wsp:val=&quot;00782C7B&quot;/&gt;&lt;wsp:rsid wsp:val=&quot;00782FFA&quot;/&gt;&lt;wsp:rsid wsp:val=&quot;00783516&quot;/&gt;&lt;wsp:rsid wsp:val=&quot;00784524&quot;/&gt;&lt;wsp:rsid wsp:val=&quot;00784C0D&quot;/&gt;&lt;wsp:rsid wsp:val=&quot;0078669F&quot;/&gt;&lt;wsp:rsid wsp:val=&quot;00786810&quot;/&gt;&lt;wsp:rsid wsp:val=&quot;00786A33&quot;/&gt;&lt;wsp:rsid wsp:val=&quot;007874C6&quot;/&gt;&lt;wsp:rsid wsp:val=&quot;00787599&quot;/&gt;&lt;wsp:rsid wsp:val=&quot;00790BE5&quot;/&gt;&lt;wsp:rsid wsp:val=&quot;00794D8E&quot;/&gt;&lt;wsp:rsid wsp:val=&quot;007A075E&quot;/&gt;&lt;wsp:rsid wsp:val=&quot;007A37E5&quot;/&gt;&lt;wsp:rsid wsp:val=&quot;007A41C8&quot;/&gt;&lt;wsp:rsid wsp:val=&quot;007B04C2&quot;/&gt;&lt;wsp:rsid wsp:val=&quot;007B1EEC&quot;/&gt;&lt;wsp:rsid wsp:val=&quot;007B26C8&quot;/&gt;&lt;wsp:rsid wsp:val=&quot;007B3619&quot;/&gt;&lt;wsp:rsid wsp:val=&quot;007B571E&quot;/&gt;&lt;wsp:rsid wsp:val=&quot;007B66C8&quot;/&gt;&lt;wsp:rsid wsp:val=&quot;007C0646&quot;/&gt;&lt;wsp:rsid wsp:val=&quot;007C221A&quot;/&gt;&lt;wsp:rsid wsp:val=&quot;007C36EA&quot;/&gt;&lt;wsp:rsid wsp:val=&quot;007C4694&quot;/&gt;&lt;wsp:rsid wsp:val=&quot;007C5109&quot;/&gt;&lt;wsp:rsid wsp:val=&quot;007C5138&quot;/&gt;&lt;wsp:rsid wsp:val=&quot;007C6F99&quot;/&gt;&lt;wsp:rsid wsp:val=&quot;007C7FDA&quot;/&gt;&lt;wsp:rsid wsp:val=&quot;007D25B0&quot;/&gt;&lt;wsp:rsid wsp:val=&quot;007D32D7&quot;/&gt;&lt;wsp:rsid wsp:val=&quot;007D3637&quot;/&gt;&lt;wsp:rsid wsp:val=&quot;007D36B1&quot;/&gt;&lt;wsp:rsid wsp:val=&quot;007D5B2B&quot;/&gt;&lt;wsp:rsid wsp:val=&quot;007D63EC&quot;/&gt;&lt;wsp:rsid wsp:val=&quot;007D7AE5&quot;/&gt;&lt;wsp:rsid wsp:val=&quot;007D7B29&quot;/&gt;&lt;wsp:rsid wsp:val=&quot;007D7C52&quot;/&gt;&lt;wsp:rsid wsp:val=&quot;007E0982&quot;/&gt;&lt;wsp:rsid wsp:val=&quot;007E09B2&quot;/&gt;&lt;wsp:rsid wsp:val=&quot;007E0C88&quot;/&gt;&lt;wsp:rsid wsp:val=&quot;007E43E2&quot;/&gt;&lt;wsp:rsid wsp:val=&quot;007E6527&quot;/&gt;&lt;wsp:rsid wsp:val=&quot;007E7440&quot;/&gt;&lt;wsp:rsid wsp:val=&quot;007E7D52&quot;/&gt;&lt;wsp:rsid wsp:val=&quot;007E7D58&quot;/&gt;&lt;wsp:rsid wsp:val=&quot;007F0E87&quot;/&gt;&lt;wsp:rsid wsp:val=&quot;007F2B93&quot;/&gt;&lt;wsp:rsid wsp:val=&quot;007F6004&quot;/&gt;&lt;wsp:rsid wsp:val=&quot;00804EFD&quot;/&gt;&lt;wsp:rsid wsp:val=&quot;00805711&quot;/&gt;&lt;wsp:rsid wsp:val=&quot;00807B76&quot;/&gt;&lt;wsp:rsid wsp:val=&quot;00810255&quot;/&gt;&lt;wsp:rsid wsp:val=&quot;0081189E&quot;/&gt;&lt;wsp:rsid wsp:val=&quot;00812CA5&quot;/&gt;&lt;wsp:rsid wsp:val=&quot;0081447F&quot;/&gt;&lt;wsp:rsid wsp:val=&quot;00814B22&quot;/&gt;&lt;wsp:rsid wsp:val=&quot;008158DF&quot;/&gt;&lt;wsp:rsid wsp:val=&quot;00817C32&quot;/&gt;&lt;wsp:rsid wsp:val=&quot;0082096C&quot;/&gt;&lt;wsp:rsid wsp:val=&quot;00826344&quot;/&gt;&lt;wsp:rsid wsp:val=&quot;0082714B&quot;/&gt;&lt;wsp:rsid wsp:val=&quot;00827BA4&quot;/&gt;&lt;wsp:rsid wsp:val=&quot;00835C6A&quot;/&gt;&lt;wsp:rsid wsp:val=&quot;008363E5&quot;/&gt;&lt;wsp:rsid wsp:val=&quot;00840668&quot;/&gt;&lt;wsp:rsid wsp:val=&quot;00840C78&quot;/&gt;&lt;wsp:rsid wsp:val=&quot;0084278D&quot;/&gt;&lt;wsp:rsid wsp:val=&quot;00846EC4&quot;/&gt;&lt;wsp:rsid wsp:val=&quot;00847610&quot;/&gt;&lt;wsp:rsid wsp:val=&quot;0085056C&quot;/&gt;&lt;wsp:rsid wsp:val=&quot;00850855&quot;/&gt;&lt;wsp:rsid wsp:val=&quot;00850B4F&quot;/&gt;&lt;wsp:rsid wsp:val=&quot;00853B9C&quot;/&gt;&lt;wsp:rsid wsp:val=&quot;00853D69&quot;/&gt;&lt;wsp:rsid wsp:val=&quot;00855A8E&quot;/&gt;&lt;wsp:rsid wsp:val=&quot;008625F5&quot;/&gt;&lt;wsp:rsid wsp:val=&quot;008626FD&quot;/&gt;&lt;wsp:rsid wsp:val=&quot;00863DBA&quot;/&gt;&lt;wsp:rsid wsp:val=&quot;008645C2&quot;/&gt;&lt;wsp:rsid wsp:val=&quot;00865316&quot;/&gt;&lt;wsp:rsid wsp:val=&quot;00866E96&quot;/&gt;&lt;wsp:rsid wsp:val=&quot;00867916&quot;/&gt;&lt;wsp:rsid wsp:val=&quot;00871AFB&quot;/&gt;&lt;wsp:rsid wsp:val=&quot;00871F05&quot;/&gt;&lt;wsp:rsid wsp:val=&quot;008762B6&quot;/&gt;&lt;wsp:rsid wsp:val=&quot;00876845&quot;/&gt;&lt;wsp:rsid wsp:val=&quot;00876916&quot;/&gt;&lt;wsp:rsid wsp:val=&quot;00877D6D&quot;/&gt;&lt;wsp:rsid wsp:val=&quot;00880089&quot;/&gt;&lt;wsp:rsid wsp:val=&quot;008805D6&quot;/&gt;&lt;wsp:rsid wsp:val=&quot;0088328D&quot;/&gt;&lt;wsp:rsid wsp:val=&quot;00884216&quot;/&gt;&lt;wsp:rsid wsp:val=&quot;008857D7&quot;/&gt;&lt;wsp:rsid wsp:val=&quot;00885D11&quot;/&gt;&lt;wsp:rsid wsp:val=&quot;0088606B&quot;/&gt;&lt;wsp:rsid wsp:val=&quot;00890FFD&quot;/&gt;&lt;wsp:rsid wsp:val=&quot;00891D7E&quot;/&gt;&lt;wsp:rsid wsp:val=&quot;00892BC0&quot;/&gt;&lt;wsp:rsid wsp:val=&quot;0089344A&quot;/&gt;&lt;wsp:rsid wsp:val=&quot;00894F34&quot;/&gt;&lt;wsp:rsid wsp:val=&quot;008958A8&quot;/&gt;&lt;wsp:rsid wsp:val=&quot;0089607B&quot;/&gt;&lt;wsp:rsid wsp:val=&quot;00897308&quot;/&gt;&lt;wsp:rsid wsp:val=&quot;008A2DD3&quot;/&gt;&lt;wsp:rsid wsp:val=&quot;008A30FA&quot;/&gt;&lt;wsp:rsid wsp:val=&quot;008A4F76&quot;/&gt;&lt;wsp:rsid wsp:val=&quot;008A645B&quot;/&gt;&lt;wsp:rsid wsp:val=&quot;008A70F0&quot;/&gt;&lt;wsp:rsid wsp:val=&quot;008B0F84&quot;/&gt;&lt;wsp:rsid wsp:val=&quot;008B141C&quot;/&gt;&lt;wsp:rsid wsp:val=&quot;008B2B71&quot;/&gt;&lt;wsp:rsid wsp:val=&quot;008B4AAC&quot;/&gt;&lt;wsp:rsid wsp:val=&quot;008B514C&quot;/&gt;&lt;wsp:rsid wsp:val=&quot;008B7F68&quot;/&gt;&lt;wsp:rsid wsp:val=&quot;008C0AC2&quot;/&gt;&lt;wsp:rsid wsp:val=&quot;008C1E29&quot;/&gt;&lt;wsp:rsid wsp:val=&quot;008C1F59&quot;/&gt;&lt;wsp:rsid wsp:val=&quot;008C25C2&quot;/&gt;&lt;wsp:rsid wsp:val=&quot;008C4A83&quot;/&gt;&lt;wsp:rsid wsp:val=&quot;008D1A94&quot;/&gt;&lt;wsp:rsid wsp:val=&quot;008D3E93&quot;/&gt;&lt;wsp:rsid wsp:val=&quot;008D7BC6&quot;/&gt;&lt;wsp:rsid wsp:val=&quot;008E00A3&quot;/&gt;&lt;wsp:rsid wsp:val=&quot;008E3729&quot;/&gt;&lt;wsp:rsid wsp:val=&quot;008E3BBA&quot;/&gt;&lt;wsp:rsid wsp:val=&quot;008E5794&quot;/&gt;&lt;wsp:rsid wsp:val=&quot;008E5D14&quot;/&gt;&lt;wsp:rsid wsp:val=&quot;008F04EC&quot;/&gt;&lt;wsp:rsid wsp:val=&quot;008F1CD8&quot;/&gt;&lt;wsp:rsid wsp:val=&quot;008F4C92&quot;/&gt;&lt;wsp:rsid wsp:val=&quot;008F708A&quot;/&gt;&lt;wsp:rsid wsp:val=&quot;008F7B11&quot;/&gt;&lt;wsp:rsid wsp:val=&quot;009000D8&quot;/&gt;&lt;wsp:rsid wsp:val=&quot;00900760&quot;/&gt;&lt;wsp:rsid wsp:val=&quot;0090162C&quot;/&gt;&lt;wsp:rsid wsp:val=&quot;009044F1&quot;/&gt;&lt;wsp:rsid wsp:val=&quot;009055B2&quot;/&gt;&lt;wsp:rsid wsp:val=&quot;009073A7&quot;/&gt;&lt;wsp:rsid wsp:val=&quot;00910F85&quot;/&gt;&lt;wsp:rsid wsp:val=&quot;009117AE&quot;/&gt;&lt;wsp:rsid wsp:val=&quot;00912162&quot;/&gt;&lt;wsp:rsid wsp:val=&quot;00913573&quot;/&gt;&lt;wsp:rsid wsp:val=&quot;009160A1&quot;/&gt;&lt;wsp:rsid wsp:val=&quot;00916CA5&quot;/&gt;&lt;wsp:rsid wsp:val=&quot;0091799A&quot;/&gt;&lt;wsp:rsid wsp:val=&quot;00917CF3&quot;/&gt;&lt;wsp:rsid wsp:val=&quot;00921D51&quot;/&gt;&lt;wsp:rsid wsp:val=&quot;00923759&quot;/&gt;&lt;wsp:rsid wsp:val=&quot;009302A6&quot;/&gt;&lt;wsp:rsid wsp:val=&quot;009309EC&quot;/&gt;&lt;wsp:rsid wsp:val=&quot;00930F35&quot;/&gt;&lt;wsp:rsid wsp:val=&quot;00933149&quot;/&gt;&lt;wsp:rsid wsp:val=&quot;00933C17&quot;/&gt;&lt;wsp:rsid wsp:val=&quot;009341EC&quot;/&gt;&lt;wsp:rsid wsp:val=&quot;009351D5&quot;/&gt;&lt;wsp:rsid wsp:val=&quot;009400CC&quot;/&gt;&lt;wsp:rsid wsp:val=&quot;009401FB&quot;/&gt;&lt;wsp:rsid wsp:val=&quot;00941224&quot;/&gt;&lt;wsp:rsid wsp:val=&quot;009435D9&quot;/&gt;&lt;wsp:rsid wsp:val=&quot;0094397A&quot;/&gt;&lt;wsp:rsid wsp:val=&quot;009527AE&quot;/&gt;&lt;wsp:rsid wsp:val=&quot;00952FB9&quot;/&gt;&lt;wsp:rsid wsp:val=&quot;009537F1&quot;/&gt;&lt;wsp:rsid wsp:val=&quot;00955200&quot;/&gt;&lt;wsp:rsid wsp:val=&quot;00955582&quot;/&gt;&lt;wsp:rsid wsp:val=&quot;00955ABC&quot;/&gt;&lt;wsp:rsid wsp:val=&quot;00963CCD&quot;/&gt;&lt;wsp:rsid wsp:val=&quot;00964422&quot;/&gt;&lt;wsp:rsid wsp:val=&quot;00965F68&quot;/&gt;&lt;wsp:rsid wsp:val=&quot;009700BB&quot;/&gt;&lt;wsp:rsid wsp:val=&quot;00970162&quot;/&gt;&lt;wsp:rsid wsp:val=&quot;0097109E&quot;/&gt;&lt;wsp:rsid wsp:val=&quot;0097532A&quot;/&gt;&lt;wsp:rsid wsp:val=&quot;009801BB&quot;/&gt;&lt;wsp:rsid wsp:val=&quot;00980F4C&quot;/&gt;&lt;wsp:rsid wsp:val=&quot;00982662&quot;/&gt;&lt;wsp:rsid wsp:val=&quot;00983818&quot;/&gt;&lt;wsp:rsid wsp:val=&quot;009839C8&quot;/&gt;&lt;wsp:rsid wsp:val=&quot;00983ED0&quot;/&gt;&lt;wsp:rsid wsp:val=&quot;00985231&quot;/&gt;&lt;wsp:rsid wsp:val=&quot;009859D5&quot;/&gt;&lt;wsp:rsid wsp:val=&quot;00987B5E&quot;/&gt;&lt;wsp:rsid wsp:val=&quot;00991E9A&quot;/&gt;&lt;wsp:rsid wsp:val=&quot;00993AC5&quot;/&gt;&lt;wsp:rsid wsp:val=&quot;00993CBB&quot;/&gt;&lt;wsp:rsid wsp:val=&quot;0099563F&quot;/&gt;&lt;wsp:rsid wsp:val=&quot;00996DA1&quot;/&gt;&lt;wsp:rsid wsp:val=&quot;009974E3&quot;/&gt;&lt;wsp:rsid wsp:val=&quot;009A5CBD&quot;/&gt;&lt;wsp:rsid wsp:val=&quot;009A6744&quot;/&gt;&lt;wsp:rsid wsp:val=&quot;009B008F&quot;/&gt;&lt;wsp:rsid wsp:val=&quot;009B4EF9&quot;/&gt;&lt;wsp:rsid wsp:val=&quot;009B6159&quot;/&gt;&lt;wsp:rsid wsp:val=&quot;009B6971&quot;/&gt;&lt;wsp:rsid wsp:val=&quot;009C24DF&quot;/&gt;&lt;wsp:rsid wsp:val=&quot;009C3FD2&quot;/&gt;&lt;wsp:rsid wsp:val=&quot;009C633B&quot;/&gt;&lt;wsp:rsid wsp:val=&quot;009C6B12&quot;/&gt;&lt;wsp:rsid wsp:val=&quot;009D00CC&quot;/&gt;&lt;wsp:rsid wsp:val=&quot;009D1304&quot;/&gt;&lt;wsp:rsid wsp:val=&quot;009D1C15&quot;/&gt;&lt;wsp:rsid wsp:val=&quot;009D229A&quot;/&gt;&lt;wsp:rsid wsp:val=&quot;009D3942&quot;/&gt;&lt;wsp:rsid wsp:val=&quot;009D3C1E&quot;/&gt;&lt;wsp:rsid wsp:val=&quot;009D4DCF&quot;/&gt;&lt;wsp:rsid wsp:val=&quot;009D4FE2&quot;/&gt;&lt;wsp:rsid wsp:val=&quot;009D520A&quot;/&gt;&lt;wsp:rsid wsp:val=&quot;009D5510&quot;/&gt;&lt;wsp:rsid wsp:val=&quot;009D6449&quot;/&gt;&lt;wsp:rsid wsp:val=&quot;009D66E7&quot;/&gt;&lt;wsp:rsid wsp:val=&quot;009D7454&quot;/&gt;&lt;wsp:rsid wsp:val=&quot;009E2AF4&quot;/&gt;&lt;wsp:rsid wsp:val=&quot;009E3838&quot;/&gt;&lt;wsp:rsid wsp:val=&quot;009E5B23&quot;/&gt;&lt;wsp:rsid wsp:val=&quot;009E7BE6&quot;/&gt;&lt;wsp:rsid wsp:val=&quot;009F058A&quot;/&gt;&lt;wsp:rsid wsp:val=&quot;009F1EC6&quot;/&gt;&lt;wsp:rsid wsp:val=&quot;009F5F19&quot;/&gt;&lt;wsp:rsid wsp:val=&quot;009F68AF&quot;/&gt;&lt;wsp:rsid wsp:val=&quot;00A009A6&quot;/&gt;&lt;wsp:rsid wsp:val=&quot;00A01EF8&quot;/&gt;&lt;wsp:rsid wsp:val=&quot;00A03986&quot;/&gt;&lt;wsp:rsid wsp:val=&quot;00A03B3D&quot;/&gt;&lt;wsp:rsid wsp:val=&quot;00A05867&quot;/&gt;&lt;wsp:rsid wsp:val=&quot;00A07DB6&quot;/&gt;&lt;wsp:rsid wsp:val=&quot;00A10653&quot;/&gt;&lt;wsp:rsid wsp:val=&quot;00A12D83&quot;/&gt;&lt;wsp:rsid wsp:val=&quot;00A145CA&quot;/&gt;&lt;wsp:rsid wsp:val=&quot;00A161F5&quot;/&gt;&lt;wsp:rsid wsp:val=&quot;00A17621&quot;/&gt;&lt;wsp:rsid wsp:val=&quot;00A17DCB&quot;/&gt;&lt;wsp:rsid wsp:val=&quot;00A2015C&quot;/&gt;&lt;wsp:rsid wsp:val=&quot;00A20560&quot;/&gt;&lt;wsp:rsid wsp:val=&quot;00A21643&quot;/&gt;&lt;wsp:rsid wsp:val=&quot;00A22BDC&quot;/&gt;&lt;wsp:rsid wsp:val=&quot;00A32097&quot;/&gt;&lt;wsp:rsid wsp:val=&quot;00A3248D&quot;/&gt;&lt;wsp:rsid wsp:val=&quot;00A344CC&quot;/&gt;&lt;wsp:rsid wsp:val=&quot;00A34DFF&quot;/&gt;&lt;wsp:rsid wsp:val=&quot;00A35505&quot;/&gt;&lt;wsp:rsid wsp:val=&quot;00A363AC&quot;/&gt;&lt;wsp:rsid wsp:val=&quot;00A363F5&quot;/&gt;&lt;wsp:rsid wsp:val=&quot;00A365C1&quot;/&gt;&lt;wsp:rsid wsp:val=&quot;00A3761D&quot;/&gt;&lt;wsp:rsid wsp:val=&quot;00A4272D&quot;/&gt;&lt;wsp:rsid wsp:val=&quot;00A476F6&quot;/&gt;&lt;wsp:rsid wsp:val=&quot;00A47EEF&quot;/&gt;&lt;wsp:rsid wsp:val=&quot;00A51F8A&quot;/&gt;&lt;wsp:rsid wsp:val=&quot;00A53464&quot;/&gt;&lt;wsp:rsid wsp:val=&quot;00A53C56&quot;/&gt;&lt;wsp:rsid wsp:val=&quot;00A547AF&quot;/&gt;&lt;wsp:rsid wsp:val=&quot;00A54B03&quot;/&gt;&lt;wsp:rsid wsp:val=&quot;00A552DD&quot;/&gt;&lt;wsp:rsid wsp:val=&quot;00A573F9&quot;/&gt;&lt;wsp:rsid wsp:val=&quot;00A57615&quot;/&gt;&lt;wsp:rsid wsp:val=&quot;00A578EC&quot;/&gt;&lt;wsp:rsid wsp:val=&quot;00A57B36&quot;/&gt;&lt;wsp:rsid wsp:val=&quot;00A60DA7&quot;/&gt;&lt;wsp:rsid wsp:val=&quot;00A613D6&quot;/&gt;&lt;wsp:rsid wsp:val=&quot;00A65A44&quot;/&gt;&lt;wsp:rsid wsp:val=&quot;00A65F7A&quot;/&gt;&lt;wsp:rsid wsp:val=&quot;00A66BD4&quot;/&gt;&lt;wsp:rsid wsp:val=&quot;00A6717A&quot;/&gt;&lt;wsp:rsid wsp:val=&quot;00A72134&quot;/&gt;&lt;wsp:rsid wsp:val=&quot;00A76115&quot;/&gt;&lt;wsp:rsid wsp:val=&quot;00A77718&quot;/&gt;&lt;wsp:rsid wsp:val=&quot;00A77A33&quot;/&gt;&lt;wsp:rsid wsp:val=&quot;00A80497&quot;/&gt;&lt;wsp:rsid wsp:val=&quot;00A80FA3&quot;/&gt;&lt;wsp:rsid wsp:val=&quot;00A81243&quot;/&gt;&lt;wsp:rsid wsp:val=&quot;00A8238D&quot;/&gt;&lt;wsp:rsid wsp:val=&quot;00A82CF6&quot;/&gt;&lt;wsp:rsid wsp:val=&quot;00A832EB&quot;/&gt;&lt;wsp:rsid wsp:val=&quot;00A8339C&quot;/&gt;&lt;wsp:rsid wsp:val=&quot;00A868DF&quot;/&gt;&lt;wsp:rsid wsp:val=&quot;00A8792A&quot;/&gt;&lt;wsp:rsid wsp:val=&quot;00A906B3&quot;/&gt;&lt;wsp:rsid wsp:val=&quot;00A92FBD&quot;/&gt;&lt;wsp:rsid wsp:val=&quot;00A93480&quot;/&gt;&lt;wsp:rsid wsp:val=&quot;00A943FC&quot;/&gt;&lt;wsp:rsid wsp:val=&quot;00A94A2D&quot;/&gt;&lt;wsp:rsid wsp:val=&quot;00A96216&quot;/&gt;&lt;wsp:rsid wsp:val=&quot;00A9692D&quot;/&gt;&lt;wsp:rsid wsp:val=&quot;00A96B39&quot;/&gt;&lt;wsp:rsid wsp:val=&quot;00A97117&quot;/&gt;&lt;wsp:rsid wsp:val=&quot;00AA0878&quot;/&gt;&lt;wsp:rsid wsp:val=&quot;00AA10A4&quot;/&gt;&lt;wsp:rsid wsp:val=&quot;00AA2A99&quot;/&gt;&lt;wsp:rsid wsp:val=&quot;00AA3578&quot;/&gt;&lt;wsp:rsid wsp:val=&quot;00AA3E81&quot;/&gt;&lt;wsp:rsid wsp:val=&quot;00AA498E&quot;/&gt;&lt;wsp:rsid wsp:val=&quot;00AA5980&quot;/&gt;&lt;wsp:rsid wsp:val=&quot;00AB0AE0&quot;/&gt;&lt;wsp:rsid wsp:val=&quot;00AB1B55&quot;/&gt;&lt;wsp:rsid wsp:val=&quot;00AB1E72&quot;/&gt;&lt;wsp:rsid wsp:val=&quot;00AB3151&quot;/&gt;&lt;wsp:rsid wsp:val=&quot;00AB3E53&quot;/&gt;&lt;wsp:rsid wsp:val=&quot;00AB686F&quot;/&gt;&lt;wsp:rsid wsp:val=&quot;00AB6D13&quot;/&gt;&lt;wsp:rsid wsp:val=&quot;00AC186A&quot;/&gt;&lt;wsp:rsid wsp:val=&quot;00AC186F&quot;/&gt;&lt;wsp:rsid wsp:val=&quot;00AC3582&quot;/&gt;&lt;wsp:rsid wsp:val=&quot;00AC3DEA&quot;/&gt;&lt;wsp:rsid wsp:val=&quot;00AC4CC6&quot;/&gt;&lt;wsp:rsid wsp:val=&quot;00AD02D6&quot;/&gt;&lt;wsp:rsid wsp:val=&quot;00AD10F5&quot;/&gt;&lt;wsp:rsid wsp:val=&quot;00AD1A3E&quot;/&gt;&lt;wsp:rsid wsp:val=&quot;00AD3BBB&quot;/&gt;&lt;wsp:rsid wsp:val=&quot;00AD4387&quot;/&gt;&lt;wsp:rsid wsp:val=&quot;00AD4F81&quot;/&gt;&lt;wsp:rsid wsp:val=&quot;00AD7B75&quot;/&gt;&lt;wsp:rsid wsp:val=&quot;00AE0839&quot;/&gt;&lt;wsp:rsid wsp:val=&quot;00AE11F2&quot;/&gt;&lt;wsp:rsid wsp:val=&quot;00AE530C&quot;/&gt;&lt;wsp:rsid wsp:val=&quot;00AE553D&quot;/&gt;&lt;wsp:rsid wsp:val=&quot;00AF0388&quot;/&gt;&lt;wsp:rsid wsp:val=&quot;00AF0439&quot;/&gt;&lt;wsp:rsid wsp:val=&quot;00AF09FF&quot;/&gt;&lt;wsp:rsid wsp:val=&quot;00AF29B1&quot;/&gt;&lt;wsp:rsid wsp:val=&quot;00AF417C&quot;/&gt;&lt;wsp:rsid wsp:val=&quot;00AF42F3&quot;/&gt;&lt;wsp:rsid wsp:val=&quot;00AF6401&quot;/&gt;&lt;wsp:rsid wsp:val=&quot;00AF652D&quot;/&gt;&lt;wsp:rsid wsp:val=&quot;00B01824&quot;/&gt;&lt;wsp:rsid wsp:val=&quot;00B01A13&quot;/&gt;&lt;wsp:rsid wsp:val=&quot;00B02105&quot;/&gt;&lt;wsp:rsid wsp:val=&quot;00B02EAC&quot;/&gt;&lt;wsp:rsid wsp:val=&quot;00B0317D&quot;/&gt;&lt;wsp:rsid wsp:val=&quot;00B031D9&quot;/&gt;&lt;wsp:rsid wsp:val=&quot;00B05A31&quot;/&gt;&lt;wsp:rsid wsp:val=&quot;00B060CB&quot;/&gt;&lt;wsp:rsid wsp:val=&quot;00B07BDE&quot;/&gt;&lt;wsp:rsid wsp:val=&quot;00B11AD1&quot;/&gt;&lt;wsp:rsid wsp:val=&quot;00B120A8&quot;/&gt;&lt;wsp:rsid wsp:val=&quot;00B15663&quot;/&gt;&lt;wsp:rsid wsp:val=&quot;00B16543&quot;/&gt;&lt;wsp:rsid wsp:val=&quot;00B217F7&quot;/&gt;&lt;wsp:rsid wsp:val=&quot;00B241B7&quot;/&gt;&lt;wsp:rsid wsp:val=&quot;00B24A3A&quot;/&gt;&lt;wsp:rsid wsp:val=&quot;00B25148&quot;/&gt;&lt;wsp:rsid wsp:val=&quot;00B25A71&quot;/&gt;&lt;wsp:rsid wsp:val=&quot;00B2756A&quot;/&gt;&lt;wsp:rsid wsp:val=&quot;00B32647&quot;/&gt;&lt;wsp:rsid wsp:val=&quot;00B32CF5&quot;/&gt;&lt;wsp:rsid wsp:val=&quot;00B32E69&quot;/&gt;&lt;wsp:rsid wsp:val=&quot;00B33C6B&quot;/&gt;&lt;wsp:rsid wsp:val=&quot;00B33E13&quot;/&gt;&lt;wsp:rsid wsp:val=&quot;00B348A4&quot;/&gt;&lt;wsp:rsid wsp:val=&quot;00B36E15&quot;/&gt;&lt;wsp:rsid wsp:val=&quot;00B403B1&quot;/&gt;&lt;wsp:rsid wsp:val=&quot;00B4369C&quot;/&gt;&lt;wsp:rsid wsp:val=&quot;00B45DA3&quot;/&gt;&lt;wsp:rsid wsp:val=&quot;00B465CE&quot;/&gt;&lt;wsp:rsid wsp:val=&quot;00B4685A&quot;/&gt;&lt;wsp:rsid wsp:val=&quot;00B468D2&quot;/&gt;&lt;wsp:rsid wsp:val=&quot;00B46DD6&quot;/&gt;&lt;wsp:rsid wsp:val=&quot;00B521CA&quot;/&gt;&lt;wsp:rsid wsp:val=&quot;00B54AB1&quot;/&gt;&lt;wsp:rsid wsp:val=&quot;00B55B7C&quot;/&gt;&lt;wsp:rsid wsp:val=&quot;00B56CFC&quot;/&gt;&lt;wsp:rsid wsp:val=&quot;00B57F91&quot;/&gt;&lt;wsp:rsid wsp:val=&quot;00B60A16&quot;/&gt;&lt;wsp:rsid wsp:val=&quot;00B60B1A&quot;/&gt;&lt;wsp:rsid wsp:val=&quot;00B612E1&quot;/&gt;&lt;wsp:rsid wsp:val=&quot;00B62125&quot;/&gt;&lt;wsp:rsid wsp:val=&quot;00B6286B&quot;/&gt;&lt;wsp:rsid wsp:val=&quot;00B629BE&quot;/&gt;&lt;wsp:rsid wsp:val=&quot;00B6414F&quot;/&gt;&lt;wsp:rsid wsp:val=&quot;00B67B16&quot;/&gt;&lt;wsp:rsid wsp:val=&quot;00B702A3&quot;/&gt;&lt;wsp:rsid wsp:val=&quot;00B7380C&quot;/&gt;&lt;wsp:rsid wsp:val=&quot;00B770D3&quot;/&gt;&lt;wsp:rsid wsp:val=&quot;00B770F5&quot;/&gt;&lt;wsp:rsid wsp:val=&quot;00B779E0&quot;/&gt;&lt;wsp:rsid wsp:val=&quot;00B77A2E&quot;/&gt;&lt;wsp:rsid wsp:val=&quot;00B8700C&quot;/&gt;&lt;wsp:rsid wsp:val=&quot;00B90B33&quot;/&gt;&lt;wsp:rsid wsp:val=&quot;00B91008&quot;/&gt;&lt;wsp:rsid wsp:val=&quot;00B9170F&quot;/&gt;&lt;wsp:rsid wsp:val=&quot;00B92A58&quot;/&gt;&lt;wsp:rsid wsp:val=&quot;00B931AD&quot;/&gt;&lt;wsp:rsid wsp:val=&quot;00B93592&quot;/&gt;&lt;wsp:rsid wsp:val=&quot;00B952AC&quot;/&gt;&lt;wsp:rsid wsp:val=&quot;00B95847&quot;/&gt;&lt;wsp:rsid wsp:val=&quot;00BA13DC&quot;/&gt;&lt;wsp:rsid wsp:val=&quot;00BA35AD&quot;/&gt;&lt;wsp:rsid wsp:val=&quot;00BA4B97&quot;/&gt;&lt;wsp:rsid wsp:val=&quot;00BA72F5&quot;/&gt;&lt;wsp:rsid wsp:val=&quot;00BA7F86&quot;/&gt;&lt;wsp:rsid wsp:val=&quot;00BB03AA&quot;/&gt;&lt;wsp:rsid wsp:val=&quot;00BB0E82&quot;/&gt;&lt;wsp:rsid wsp:val=&quot;00BB1192&quot;/&gt;&lt;wsp:rsid wsp:val=&quot;00BB3CC8&quot;/&gt;&lt;wsp:rsid wsp:val=&quot;00BB4F16&quot;/&gt;&lt;wsp:rsid wsp:val=&quot;00BB556D&quot;/&gt;&lt;wsp:rsid wsp:val=&quot;00BB7288&quot;/&gt;&lt;wsp:rsid wsp:val=&quot;00BC074E&quot;/&gt;&lt;wsp:rsid wsp:val=&quot;00BC2357&quot;/&gt;&lt;wsp:rsid wsp:val=&quot;00BC452C&quot;/&gt;&lt;wsp:rsid wsp:val=&quot;00BC4DA5&quot;/&gt;&lt;wsp:rsid wsp:val=&quot;00BC5129&quot;/&gt;&lt;wsp:rsid wsp:val=&quot;00BC6434&quot;/&gt;&lt;wsp:rsid wsp:val=&quot;00BC6B37&quot;/&gt;&lt;wsp:rsid wsp:val=&quot;00BC771A&quot;/&gt;&lt;wsp:rsid wsp:val=&quot;00BD30BC&quot;/&gt;&lt;wsp:rsid wsp:val=&quot;00BD3F7B&quot;/&gt;&lt;wsp:rsid wsp:val=&quot;00BD46CB&quot;/&gt;&lt;wsp:rsid wsp:val=&quot;00BD5EB4&quot;/&gt;&lt;wsp:rsid wsp:val=&quot;00BE5993&quot;/&gt;&lt;wsp:rsid wsp:val=&quot;00BF2D88&quot;/&gt;&lt;wsp:rsid wsp:val=&quot;00BF360B&quot;/&gt;&lt;wsp:rsid wsp:val=&quot;00BF3FB9&quot;/&gt;&lt;wsp:rsid wsp:val=&quot;00BF41AC&quot;/&gt;&lt;wsp:rsid wsp:val=&quot;00BF4367&quot;/&gt;&lt;wsp:rsid wsp:val=&quot;00BF5D07&quot;/&gt;&lt;wsp:rsid wsp:val=&quot;00BF6C56&quot;/&gt;&lt;wsp:rsid wsp:val=&quot;00C0037E&quot;/&gt;&lt;wsp:rsid wsp:val=&quot;00C023FB&quot;/&gt;&lt;wsp:rsid wsp:val=&quot;00C036FE&quot;/&gt;&lt;wsp:rsid wsp:val=&quot;00C05008&quot;/&gt;&lt;wsp:rsid wsp:val=&quot;00C053A5&quot;/&gt;&lt;wsp:rsid wsp:val=&quot;00C0588C&quot;/&gt;&lt;wsp:rsid wsp:val=&quot;00C14CDF&quot;/&gt;&lt;wsp:rsid wsp:val=&quot;00C16280&quot;/&gt;&lt;wsp:rsid wsp:val=&quot;00C21794&quot;/&gt;&lt;wsp:rsid wsp:val=&quot;00C218D2&quot;/&gt;&lt;wsp:rsid wsp:val=&quot;00C2274F&quot;/&gt;&lt;wsp:rsid wsp:val=&quot;00C27792&quot;/&gt;&lt;wsp:rsid wsp:val=&quot;00C278D9&quot;/&gt;&lt;wsp:rsid wsp:val=&quot;00C309E3&quot;/&gt;&lt;wsp:rsid wsp:val=&quot;00C322FA&quot;/&gt;&lt;wsp:rsid wsp:val=&quot;00C335E2&quot;/&gt;&lt;wsp:rsid wsp:val=&quot;00C34497&quot;/&gt;&lt;wsp:rsid wsp:val=&quot;00C400A1&quot;/&gt;&lt;wsp:rsid wsp:val=&quot;00C40B8D&quot;/&gt;&lt;wsp:rsid wsp:val=&quot;00C4217F&quot;/&gt;&lt;wsp:rsid wsp:val=&quot;00C43DBB&quot;/&gt;&lt;wsp:rsid wsp:val=&quot;00C44794&quot;/&gt;&lt;wsp:rsid wsp:val=&quot;00C46961&quot;/&gt;&lt;wsp:rsid wsp:val=&quot;00C472C3&quot;/&gt;&lt;wsp:rsid wsp:val=&quot;00C52019&quot;/&gt;&lt;wsp:rsid wsp:val=&quot;00C565AF&quot;/&gt;&lt;wsp:rsid wsp:val=&quot;00C5741E&quot;/&gt;&lt;wsp:rsid wsp:val=&quot;00C606B7&quot;/&gt;&lt;wsp:rsid wsp:val=&quot;00C61086&quot;/&gt;&lt;wsp:rsid wsp:val=&quot;00C64FE1&quot;/&gt;&lt;wsp:rsid wsp:val=&quot;00C656CF&quot;/&gt;&lt;wsp:rsid wsp:val=&quot;00C656D9&quot;/&gt;&lt;wsp:rsid wsp:val=&quot;00C6623F&quot;/&gt;&lt;wsp:rsid wsp:val=&quot;00C66D36&quot;/&gt;&lt;wsp:rsid wsp:val=&quot;00C67173&quot;/&gt;&lt;wsp:rsid wsp:val=&quot;00C713D2&quot;/&gt;&lt;wsp:rsid wsp:val=&quot;00C72244&quot;/&gt;&lt;wsp:rsid wsp:val=&quot;00C72B2F&quot;/&gt;&lt;wsp:rsid wsp:val=&quot;00C7476C&quot;/&gt;&lt;wsp:rsid wsp:val=&quot;00C76566&quot;/&gt;&lt;wsp:rsid wsp:val=&quot;00C766C9&quot;/&gt;&lt;wsp:rsid wsp:val=&quot;00C777B8&quot;/&gt;&lt;wsp:rsid wsp:val=&quot;00C803BA&quot;/&gt;&lt;wsp:rsid wsp:val=&quot;00C83C45&quot;/&gt;&lt;wsp:rsid wsp:val=&quot;00C83D5C&quot;/&gt;&lt;wsp:rsid wsp:val=&quot;00C84DDB&quot;/&gt;&lt;wsp:rsid wsp:val=&quot;00C85E05&quot;/&gt;&lt;wsp:rsid wsp:val=&quot;00C86B80&quot;/&gt;&lt;wsp:rsid wsp:val=&quot;00C86C2A&quot;/&gt;&lt;wsp:rsid wsp:val=&quot;00C86D5C&quot;/&gt;&lt;wsp:rsid wsp:val=&quot;00C90ABC&quot;/&gt;&lt;wsp:rsid wsp:val=&quot;00C9211A&quot;/&gt;&lt;wsp:rsid wsp:val=&quot;00C92306&quot;/&gt;&lt;wsp:rsid wsp:val=&quot;00C92F92&quot;/&gt;&lt;wsp:rsid wsp:val=&quot;00C9537D&quot;/&gt;&lt;wsp:rsid wsp:val=&quot;00C97C7C&quot;/&gt;&lt;wsp:rsid wsp:val=&quot;00CA1C09&quot;/&gt;&lt;wsp:rsid wsp:val=&quot;00CA329D&quot;/&gt;&lt;wsp:rsid wsp:val=&quot;00CA7BBE&quot;/&gt;&lt;wsp:rsid wsp:val=&quot;00CB0D69&quot;/&gt;&lt;wsp:rsid wsp:val=&quot;00CB0F82&quot;/&gt;&lt;wsp:rsid wsp:val=&quot;00CB3374&quot;/&gt;&lt;wsp:rsid wsp:val=&quot;00CB604A&quot;/&gt;&lt;wsp:rsid wsp:val=&quot;00CC467A&quot;/&gt;&lt;wsp:rsid wsp:val=&quot;00CC4B82&quot;/&gt;&lt;wsp:rsid wsp:val=&quot;00CC5256&quot;/&gt;&lt;wsp:rsid wsp:val=&quot;00CC7273&quot;/&gt;&lt;wsp:rsid wsp:val=&quot;00CD2183&quot;/&gt;&lt;wsp:rsid wsp:val=&quot;00CD23B6&quot;/&gt;&lt;wsp:rsid wsp:val=&quot;00CD2640&quot;/&gt;&lt;wsp:rsid wsp:val=&quot;00CD458F&quot;/&gt;&lt;wsp:rsid wsp:val=&quot;00CD6BFC&quot;/&gt;&lt;wsp:rsid wsp:val=&quot;00CE6CBC&quot;/&gt;&lt;wsp:rsid wsp:val=&quot;00CE7343&quot;/&gt;&lt;wsp:rsid wsp:val=&quot;00CF02DF&quot;/&gt;&lt;wsp:rsid wsp:val=&quot;00CF0421&quot;/&gt;&lt;wsp:rsid wsp:val=&quot;00CF11B8&quot;/&gt;&lt;wsp:rsid wsp:val=&quot;00CF36C3&quot;/&gt;&lt;wsp:rsid wsp:val=&quot;00CF50F5&quot;/&gt;&lt;wsp:rsid wsp:val=&quot;00CF65E3&quot;/&gt;&lt;wsp:rsid wsp:val=&quot;00D009A3&quot;/&gt;&lt;wsp:rsid wsp:val=&quot;00D0235F&quot;/&gt;&lt;wsp:rsid wsp:val=&quot;00D02716&quot;/&gt;&lt;wsp:rsid wsp:val=&quot;00D02B6A&quot;/&gt;&lt;wsp:rsid wsp:val=&quot;00D02E4B&quot;/&gt;&lt;wsp:rsid wsp:val=&quot;00D03F58&quot;/&gt;&lt;wsp:rsid wsp:val=&quot;00D04507&quot;/&gt;&lt;wsp:rsid wsp:val=&quot;00D0723F&quot;/&gt;&lt;wsp:rsid wsp:val=&quot;00D073B0&quot;/&gt;&lt;wsp:rsid wsp:val=&quot;00D11EFE&quot;/&gt;&lt;wsp:rsid wsp:val=&quot;00D12292&quot;/&gt;&lt;wsp:rsid wsp:val=&quot;00D14F97&quot;/&gt;&lt;wsp:rsid wsp:val=&quot;00D1576A&quot;/&gt;&lt;wsp:rsid wsp:val=&quot;00D15798&quot;/&gt;&lt;wsp:rsid wsp:val=&quot;00D15B8A&quot;/&gt;&lt;wsp:rsid wsp:val=&quot;00D21FF1&quot;/&gt;&lt;wsp:rsid wsp:val=&quot;00D226FC&quot;/&gt;&lt;wsp:rsid wsp:val=&quot;00D22FD9&quot;/&gt;&lt;wsp:rsid wsp:val=&quot;00D237CB&quot;/&gt;&lt;wsp:rsid wsp:val=&quot;00D23922&quot;/&gt;&lt;wsp:rsid wsp:val=&quot;00D23FF4&quot;/&gt;&lt;wsp:rsid wsp:val=&quot;00D25222&quot;/&gt;&lt;wsp:rsid wsp:val=&quot;00D26531&quot;/&gt;&lt;wsp:rsid wsp:val=&quot;00D27324&quot;/&gt;&lt;wsp:rsid wsp:val=&quot;00D30E11&quot;/&gt;&lt;wsp:rsid wsp:val=&quot;00D31757&quot;/&gt;&lt;wsp:rsid wsp:val=&quot;00D31BEE&quot;/&gt;&lt;wsp:rsid wsp:val=&quot;00D36106&quot;/&gt;&lt;wsp:rsid wsp:val=&quot;00D37662&quot;/&gt;&lt;wsp:rsid wsp:val=&quot;00D423F6&quot;/&gt;&lt;wsp:rsid wsp:val=&quot;00D44E0E&quot;/&gt;&lt;wsp:rsid wsp:val=&quot;00D45623&quot;/&gt;&lt;wsp:rsid wsp:val=&quot;00D456B3&quot;/&gt;&lt;wsp:rsid wsp:val=&quot;00D4784A&quot;/&gt;&lt;wsp:rsid wsp:val=&quot;00D501DF&quot;/&gt;&lt;wsp:rsid wsp:val=&quot;00D506F4&quot;/&gt;&lt;wsp:rsid wsp:val=&quot;00D50AD1&quot;/&gt;&lt;wsp:rsid wsp:val=&quot;00D50E26&quot;/&gt;&lt;wsp:rsid wsp:val=&quot;00D52D5D&quot;/&gt;&lt;wsp:rsid wsp:val=&quot;00D53837&quot;/&gt;&lt;wsp:rsid wsp:val=&quot;00D54826&quot;/&gt;&lt;wsp:rsid wsp:val=&quot;00D55826&quot;/&gt;&lt;wsp:rsid wsp:val=&quot;00D60120&quot;/&gt;&lt;wsp:rsid wsp:val=&quot;00D625C2&quot;/&gt;&lt;wsp:rsid wsp:val=&quot;00D63429&quot;/&gt;&lt;wsp:rsid wsp:val=&quot;00D6445A&quot;/&gt;&lt;wsp:rsid wsp:val=&quot;00D656EB&quot;/&gt;&lt;wsp:rsid wsp:val=&quot;00D658FD&quot;/&gt;&lt;wsp:rsid wsp:val=&quot;00D660B1&quot;/&gt;&lt;wsp:rsid wsp:val=&quot;00D7210F&quot;/&gt;&lt;wsp:rsid wsp:val=&quot;00D76007&quot;/&gt;&lt;wsp:rsid wsp:val=&quot;00D76905&quot;/&gt;&lt;wsp:rsid wsp:val=&quot;00D82888&quot;/&gt;&lt;wsp:rsid wsp:val=&quot;00D83B29&quot;/&gt;&lt;wsp:rsid wsp:val=&quot;00D841E4&quot;/&gt;&lt;wsp:rsid wsp:val=&quot;00D8425C&quot;/&gt;&lt;wsp:rsid wsp:val=&quot;00D856A7&quot;/&gt;&lt;wsp:rsid wsp:val=&quot;00D86CB8&quot;/&gt;&lt;wsp:rsid wsp:val=&quot;00D8714D&quot;/&gt;&lt;wsp:rsid wsp:val=&quot;00D877FA&quot;/&gt;&lt;wsp:rsid wsp:val=&quot;00D901B1&quot;/&gt;&lt;wsp:rsid wsp:val=&quot;00D90DDC&quot;/&gt;&lt;wsp:rsid wsp:val=&quot;00D91A86&quot;/&gt;&lt;wsp:rsid wsp:val=&quot;00D93A1A&quot;/&gt;&lt;wsp:rsid wsp:val=&quot;00D960F1&quot;/&gt;&lt;wsp:rsid wsp:val=&quot;00DA02FC&quot;/&gt;&lt;wsp:rsid wsp:val=&quot;00DA082B&quot;/&gt;&lt;wsp:rsid wsp:val=&quot;00DA261F&quot;/&gt;&lt;wsp:rsid wsp:val=&quot;00DA298F&quot;/&gt;&lt;wsp:rsid wsp:val=&quot;00DA36ED&quot;/&gt;&lt;wsp:rsid wsp:val=&quot;00DA67F6&quot;/&gt;&lt;wsp:rsid wsp:val=&quot;00DA743E&quot;/&gt;&lt;wsp:rsid wsp:val=&quot;00DB00DB&quot;/&gt;&lt;wsp:rsid wsp:val=&quot;00DB0FC5&quot;/&gt;&lt;wsp:rsid wsp:val=&quot;00DB460E&quot;/&gt;&lt;wsp:rsid wsp:val=&quot;00DB5370&quot;/&gt;&lt;wsp:rsid wsp:val=&quot;00DB5484&quot;/&gt;&lt;wsp:rsid wsp:val=&quot;00DB6C5B&quot;/&gt;&lt;wsp:rsid wsp:val=&quot;00DC0D87&quot;/&gt;&lt;wsp:rsid wsp:val=&quot;00DC155C&quot;/&gt;&lt;wsp:rsid wsp:val=&quot;00DC19FC&quot;/&gt;&lt;wsp:rsid wsp:val=&quot;00DC23D8&quot;/&gt;&lt;wsp:rsid wsp:val=&quot;00DC2D4D&quot;/&gt;&lt;wsp:rsid wsp:val=&quot;00DC3CB1&quot;/&gt;&lt;wsp:rsid wsp:val=&quot;00DC3DC6&quot;/&gt;&lt;wsp:rsid wsp:val=&quot;00DC522B&quot;/&gt;&lt;wsp:rsid wsp:val=&quot;00DC6E14&quot;/&gt;&lt;wsp:rsid wsp:val=&quot;00DD0574&quot;/&gt;&lt;wsp:rsid wsp:val=&quot;00DD3A7C&quot;/&gt;&lt;wsp:rsid wsp:val=&quot;00DD4877&quot;/&gt;&lt;wsp:rsid wsp:val=&quot;00DE1496&quot;/&gt;&lt;wsp:rsid wsp:val=&quot;00DE454E&quot;/&gt;&lt;wsp:rsid wsp:val=&quot;00DE5CC3&quot;/&gt;&lt;wsp:rsid wsp:val=&quot;00DE7FC2&quot;/&gt;&lt;wsp:rsid wsp:val=&quot;00DF2B7E&quot;/&gt;&lt;wsp:rsid wsp:val=&quot;00DF2C8C&quot;/&gt;&lt;wsp:rsid wsp:val=&quot;00DF31FF&quot;/&gt;&lt;wsp:rsid wsp:val=&quot;00DF3B66&quot;/&gt;&lt;wsp:rsid wsp:val=&quot;00DF58E4&quot;/&gt;&lt;wsp:rsid wsp:val=&quot;00DF5D77&quot;/&gt;&lt;wsp:rsid wsp:val=&quot;00DF5FC2&quot;/&gt;&lt;wsp:rsid wsp:val=&quot;00DF62E0&quot;/&gt;&lt;wsp:rsid wsp:val=&quot;00DF7307&quot;/&gt;&lt;wsp:rsid wsp:val=&quot;00E00578&quot;/&gt;&lt;wsp:rsid wsp:val=&quot;00E017D0&quot;/&gt;&lt;wsp:rsid wsp:val=&quot;00E017F2&quot;/&gt;&lt;wsp:rsid wsp:val=&quot;00E0344F&quot;/&gt;&lt;wsp:rsid wsp:val=&quot;00E03B97&quot;/&gt;&lt;wsp:rsid wsp:val=&quot;00E0575F&quot;/&gt;&lt;wsp:rsid wsp:val=&quot;00E11E3B&quot;/&gt;&lt;wsp:rsid wsp:val=&quot;00E11F8E&quot;/&gt;&lt;wsp:rsid wsp:val=&quot;00E15B72&quot;/&gt;&lt;wsp:rsid wsp:val=&quot;00E163D8&quot;/&gt;&lt;wsp:rsid wsp:val=&quot;00E16885&quot;/&gt;&lt;wsp:rsid wsp:val=&quot;00E20135&quot;/&gt;&lt;wsp:rsid wsp:val=&quot;00E20D23&quot;/&gt;&lt;wsp:rsid wsp:val=&quot;00E2142F&quot;/&gt;&lt;wsp:rsid wsp:val=&quot;00E22E8F&quot;/&gt;&lt;wsp:rsid wsp:val=&quot;00E30E1A&quot;/&gt;&lt;wsp:rsid wsp:val=&quot;00E37014&quot;/&gt;&lt;wsp:rsid wsp:val=&quot;00E40E37&quot;/&gt;&lt;wsp:rsid wsp:val=&quot;00E43641&quot;/&gt;&lt;wsp:rsid wsp:val=&quot;00E44851&quot;/&gt;&lt;wsp:rsid wsp:val=&quot;00E451FC&quot;/&gt;&lt;wsp:rsid wsp:val=&quot;00E46B29&quot;/&gt;&lt;wsp:rsid wsp:val=&quot;00E47E6E&quot;/&gt;&lt;wsp:rsid wsp:val=&quot;00E50EAB&quot;/&gt;&lt;wsp:rsid wsp:val=&quot;00E522AC&quot;/&gt;&lt;wsp:rsid wsp:val=&quot;00E6021E&quot;/&gt;&lt;wsp:rsid wsp:val=&quot;00E61130&quot;/&gt;&lt;wsp:rsid wsp:val=&quot;00E62435&quot;/&gt;&lt;wsp:rsid wsp:val=&quot;00E63ABD&quot;/&gt;&lt;wsp:rsid wsp:val=&quot;00E65A93&quot;/&gt;&lt;wsp:rsid wsp:val=&quot;00E66293&quot;/&gt;&lt;wsp:rsid wsp:val=&quot;00E66CED&quot;/&gt;&lt;wsp:rsid wsp:val=&quot;00E670D3&quot;/&gt;&lt;wsp:rsid wsp:val=&quot;00E67A85&quot;/&gt;&lt;wsp:rsid wsp:val=&quot;00E70C0D&quot;/&gt;&lt;wsp:rsid wsp:val=&quot;00E71788&quot;/&gt;&lt;wsp:rsid wsp:val=&quot;00E753B5&quot;/&gt;&lt;wsp:rsid wsp:val=&quot;00E75D83&quot;/&gt;&lt;wsp:rsid wsp:val=&quot;00E76935&quot;/&gt;&lt;wsp:rsid wsp:val=&quot;00E77493&quot;/&gt;&lt;wsp:rsid wsp:val=&quot;00E80268&quot;/&gt;&lt;wsp:rsid wsp:val=&quot;00E828A7&quot;/&gt;&lt;wsp:rsid wsp:val=&quot;00E82FC8&quot;/&gt;&lt;wsp:rsid wsp:val=&quot;00E84915&quot;/&gt;&lt;wsp:rsid wsp:val=&quot;00E84F48&quot;/&gt;&lt;wsp:rsid wsp:val=&quot;00E869BA&quot;/&gt;&lt;wsp:rsid wsp:val=&quot;00E90ADF&quot;/&gt;&lt;wsp:rsid wsp:val=&quot;00E91A67&quot;/&gt;&lt;wsp:rsid wsp:val=&quot;00E938F2&quot;/&gt;&lt;wsp:rsid wsp:val=&quot;00E955F1&quot;/&gt;&lt;wsp:rsid wsp:val=&quot;00E9703B&quot;/&gt;&lt;wsp:rsid wsp:val=&quot;00EA0F57&quot;/&gt;&lt;wsp:rsid wsp:val=&quot;00EA10C1&quot;/&gt;&lt;wsp:rsid wsp:val=&quot;00EA267E&quot;/&gt;&lt;wsp:rsid wsp:val=&quot;00EA2F46&quot;/&gt;&lt;wsp:rsid wsp:val=&quot;00EA3188&quot;/&gt;&lt;wsp:rsid wsp:val=&quot;00EA4FE4&quot;/&gt;&lt;wsp:rsid wsp:val=&quot;00EA59D2&quot;/&gt;&lt;wsp:rsid wsp:val=&quot;00EA5FD2&quot;/&gt;&lt;wsp:rsid wsp:val=&quot;00EA6391&quot;/&gt;&lt;wsp:rsid wsp:val=&quot;00EA7A47&quot;/&gt;&lt;wsp:rsid wsp:val=&quot;00EA7D70&quot;/&gt;&lt;wsp:rsid wsp:val=&quot;00EB0413&quot;/&gt;&lt;wsp:rsid wsp:val=&quot;00EB18DA&quot;/&gt;&lt;wsp:rsid wsp:val=&quot;00EB2EC8&quot;/&gt;&lt;wsp:rsid wsp:val=&quot;00EB3D85&quot;/&gt;&lt;wsp:rsid wsp:val=&quot;00EB4ABA&quot;/&gt;&lt;wsp:rsid wsp:val=&quot;00EB6CD2&quot;/&gt;&lt;wsp:rsid wsp:val=&quot;00EC0E49&quot;/&gt;&lt;wsp:rsid wsp:val=&quot;00EC2549&quot;/&gt;&lt;wsp:rsid wsp:val=&quot;00EC2B62&quot;/&gt;&lt;wsp:rsid wsp:val=&quot;00EC5437&quot;/&gt;&lt;wsp:rsid wsp:val=&quot;00EC6F5F&quot;/&gt;&lt;wsp:rsid wsp:val=&quot;00EC6FD8&quot;/&gt;&lt;wsp:rsid wsp:val=&quot;00EC7A43&quot;/&gt;&lt;wsp:rsid wsp:val=&quot;00ED48C3&quot;/&gt;&lt;wsp:rsid wsp:val=&quot;00ED60C3&quot;/&gt;&lt;wsp:rsid wsp:val=&quot;00ED7FB5&quot;/&gt;&lt;wsp:rsid wsp:val=&quot;00EE11F6&quot;/&gt;&lt;wsp:rsid wsp:val=&quot;00EE1649&quot;/&gt;&lt;wsp:rsid wsp:val=&quot;00EE2BE5&quot;/&gt;&lt;wsp:rsid wsp:val=&quot;00EE2EC2&quot;/&gt;&lt;wsp:rsid wsp:val=&quot;00EE352E&quot;/&gt;&lt;wsp:rsid wsp:val=&quot;00EE43C0&quot;/&gt;&lt;wsp:rsid wsp:val=&quot;00EE51A1&quot;/&gt;&lt;wsp:rsid wsp:val=&quot;00EE5B4E&quot;/&gt;&lt;wsp:rsid wsp:val=&quot;00EE74E5&quot;/&gt;&lt;wsp:rsid wsp:val=&quot;00EF0ED4&quot;/&gt;&lt;wsp:rsid wsp:val=&quot;00EF1032&quot;/&gt;&lt;wsp:rsid wsp:val=&quot;00EF147F&quot;/&gt;&lt;wsp:rsid wsp:val=&quot;00EF23CC&quot;/&gt;&lt;wsp:rsid wsp:val=&quot;00EF38DE&quot;/&gt;&lt;wsp:rsid wsp:val=&quot;00EF51A1&quot;/&gt;&lt;wsp:rsid wsp:val=&quot;00EF6FAB&quot;/&gt;&lt;wsp:rsid wsp:val=&quot;00F00425&quot;/&gt;&lt;wsp:rsid wsp:val=&quot;00F0167F&quot;/&gt;&lt;wsp:rsid wsp:val=&quot;00F01BD6&quot;/&gt;&lt;wsp:rsid wsp:val=&quot;00F0514C&quot;/&gt;&lt;wsp:rsid wsp:val=&quot;00F06CE8&quot;/&gt;&lt;wsp:rsid wsp:val=&quot;00F14A8D&quot;/&gt;&lt;wsp:rsid wsp:val=&quot;00F15275&quot;/&gt;&lt;wsp:rsid wsp:val=&quot;00F171FD&quot;/&gt;&lt;wsp:rsid wsp:val=&quot;00F17A29&quot;/&gt;&lt;wsp:rsid wsp:val=&quot;00F20F39&quot;/&gt;&lt;wsp:rsid wsp:val=&quot;00F2213B&quot;/&gt;&lt;wsp:rsid wsp:val=&quot;00F25C8F&quot;/&gt;&lt;wsp:rsid wsp:val=&quot;00F27809&quot;/&gt;&lt;wsp:rsid wsp:val=&quot;00F312FB&quot;/&gt;&lt;wsp:rsid wsp:val=&quot;00F329E5&quot;/&gt;&lt;wsp:rsid wsp:val=&quot;00F340B6&quot;/&gt;&lt;wsp:rsid wsp:val=&quot;00F36BD6&quot;/&gt;&lt;wsp:rsid wsp:val=&quot;00F40E20&quot;/&gt;&lt;wsp:rsid wsp:val=&quot;00F42299&quot;/&gt;&lt;wsp:rsid wsp:val=&quot;00F43ACF&quot;/&gt;&lt;wsp:rsid wsp:val=&quot;00F43CA0&quot;/&gt;&lt;wsp:rsid wsp:val=&quot;00F4479D&quot;/&gt;&lt;wsp:rsid wsp:val=&quot;00F44B83&quot;/&gt;&lt;wsp:rsid wsp:val=&quot;00F51DCB&quot;/&gt;&lt;wsp:rsid wsp:val=&quot;00F51DD6&quot;/&gt;&lt;wsp:rsid wsp:val=&quot;00F51F67&quot;/&gt;&lt;wsp:rsid wsp:val=&quot;00F520E6&quot;/&gt;&lt;wsp:rsid wsp:val=&quot;00F52335&quot;/&gt;&lt;wsp:rsid wsp:val=&quot;00F5234A&quot;/&gt;&lt;wsp:rsid wsp:val=&quot;00F524E8&quot;/&gt;&lt;wsp:rsid wsp:val=&quot;00F5673B&quot;/&gt;&lt;wsp:rsid wsp:val=&quot;00F57380&quot;/&gt;&lt;wsp:rsid wsp:val=&quot;00F60143&quot;/&gt;&lt;wsp:rsid wsp:val=&quot;00F60F5F&quot;/&gt;&lt;wsp:rsid wsp:val=&quot;00F6149A&quot;/&gt;&lt;wsp:rsid wsp:val=&quot;00F61705&quot;/&gt;&lt;wsp:rsid wsp:val=&quot;00F628CA&quot;/&gt;&lt;wsp:rsid wsp:val=&quot;00F630E2&quot;/&gt;&lt;wsp:rsid wsp:val=&quot;00F6359B&quot;/&gt;&lt;wsp:rsid wsp:val=&quot;00F636FB&quot;/&gt;&lt;wsp:rsid wsp:val=&quot;00F65AE1&quot;/&gt;&lt;wsp:rsid wsp:val=&quot;00F65D8F&quot;/&gt;&lt;wsp:rsid wsp:val=&quot;00F661ED&quot;/&gt;&lt;wsp:rsid wsp:val=&quot;00F7025C&quot;/&gt;&lt;wsp:rsid wsp:val=&quot;00F708DD&quot;/&gt;&lt;wsp:rsid wsp:val=&quot;00F72351&quot;/&gt;&lt;wsp:rsid wsp:val=&quot;00F73AF4&quot;/&gt;&lt;wsp:rsid wsp:val=&quot;00F73E66&quot;/&gt;&lt;wsp:rsid wsp:val=&quot;00F742B4&quot;/&gt;&lt;wsp:rsid wsp:val=&quot;00F74E83&quot;/&gt;&lt;wsp:rsid wsp:val=&quot;00F815B9&quot;/&gt;&lt;wsp:rsid wsp:val=&quot;00F821A2&quot;/&gt;&lt;wsp:rsid wsp:val=&quot;00F825CA&quot;/&gt;&lt;wsp:rsid wsp:val=&quot;00F8426D&quot;/&gt;&lt;wsp:rsid wsp:val=&quot;00F85417&quot;/&gt;&lt;wsp:rsid wsp:val=&quot;00F86807&quot;/&gt;&lt;wsp:rsid wsp:val=&quot;00F86D78&quot;/&gt;&lt;wsp:rsid wsp:val=&quot;00F86F46&quot;/&gt;&lt;wsp:rsid wsp:val=&quot;00F874CF&quot;/&gt;&lt;wsp:rsid wsp:val=&quot;00F87727&quot;/&gt;&lt;wsp:rsid wsp:val=&quot;00F916D9&quot;/&gt;&lt;wsp:rsid wsp:val=&quot;00F92029&quot;/&gt;&lt;wsp:rsid wsp:val=&quot;00F928E9&quot;/&gt;&lt;wsp:rsid wsp:val=&quot;00F938CA&quot;/&gt;&lt;wsp:rsid wsp:val=&quot;00F95808&quot;/&gt;&lt;wsp:rsid wsp:val=&quot;00F95C3C&quot;/&gt;&lt;wsp:rsid wsp:val=&quot;00F95EED&quot;/&gt;&lt;wsp:rsid wsp:val=&quot;00F95FA7&quot;/&gt;&lt;wsp:rsid wsp:val=&quot;00F965AC&quot;/&gt;&lt;wsp:rsid wsp:val=&quot;00F9746A&quot;/&gt;&lt;wsp:rsid wsp:val=&quot;00FA16FF&quot;/&gt;&lt;wsp:rsid wsp:val=&quot;00FA2510&quot;/&gt;&lt;wsp:rsid wsp:val=&quot;00FA4339&quot;/&gt;&lt;wsp:rsid wsp:val=&quot;00FA764B&quot;/&gt;&lt;wsp:rsid wsp:val=&quot;00FB0812&quot;/&gt;&lt;wsp:rsid wsp:val=&quot;00FB0BE1&quot;/&gt;&lt;wsp:rsid wsp:val=&quot;00FB3B7A&quot;/&gt;&lt;wsp:rsid wsp:val=&quot;00FB5B44&quot;/&gt;&lt;wsp:rsid wsp:val=&quot;00FC08C0&quot;/&gt;&lt;wsp:rsid wsp:val=&quot;00FC142B&quot;/&gt;&lt;wsp:rsid wsp:val=&quot;00FC3070&quot;/&gt;&lt;wsp:rsid wsp:val=&quot;00FC394F&quot;/&gt;&lt;wsp:rsid wsp:val=&quot;00FC4616&quot;/&gt;&lt;wsp:rsid wsp:val=&quot;00FC4895&quot;/&gt;&lt;wsp:rsid wsp:val=&quot;00FC64A0&quot;/&gt;&lt;wsp:rsid wsp:val=&quot;00FC6724&quot;/&gt;&lt;wsp:rsid wsp:val=&quot;00FC67C5&quot;/&gt;&lt;wsp:rsid wsp:val=&quot;00FC736C&quot;/&gt;&lt;wsp:rsid wsp:val=&quot;00FC7F08&quot;/&gt;&lt;wsp:rsid wsp:val=&quot;00FD2571&quot;/&gt;&lt;wsp:rsid wsp:val=&quot;00FD6F91&quot;/&gt;&lt;wsp:rsid wsp:val=&quot;00FD72EB&quot;/&gt;&lt;wsp:rsid wsp:val=&quot;00FD7511&quot;/&gt;&lt;wsp:rsid wsp:val=&quot;00FE0173&quot;/&gt;&lt;wsp:rsid wsp:val=&quot;00FE479D&quot;/&gt;&lt;wsp:rsid wsp:val=&quot;00FE4B48&quot;/&gt;&lt;wsp:rsid wsp:val=&quot;00FF0E9F&quot;/&gt;&lt;wsp:rsid wsp:val=&quot;00FF3372&quot;/&gt;&lt;wsp:rsid wsp:val=&quot;00FF43D6&quot;/&gt;&lt;wsp:rsid wsp:val=&quot;00FF5E8D&quot;/&gt;&lt;wsp:rsid wsp:val=&quot;00FF6149&quot;/&gt;&lt;wsp:rsid wsp:val=&quot;00FF634E&quot;/&gt;&lt;wsp:rsid wsp:val=&quot;00FF6458&quot;/&gt;&lt;/wsp:rsids&gt;&lt;/w:docPr&gt;&lt;w:body&gt;&lt;wx:sect&gt;&lt;w:p wsp:rsidR=&quot;00000000&quot; wsp:rsidRDefault=&quot;001B5A60&quot; wsp:rsidP=&quot;001B5A60&quot;&gt;&lt;m:oMathPara&gt;&lt;m:oMath&gt;&lt;m:acc&gt;&lt;m:accPr&gt;&lt;m:chr m:val=&quot;̅&quot;/&gt;&lt;m:ctrlPr&gt;&lt;aml:annotation aml:id=&quot;0&quot; w:type=&quot;Word.Insertion&quot; aml:author=&quot;孔珍珍&quot; aml:createdate=&quot;2016-03-22T19:42:00Z&quot;&gt;&lt;aml:content&gt;&lt;w:rPr&gt;&lt;w:rFonts w:ascii=&quot;Cambria Math&quot; w:fareast=&quot;宋体&quot; w:h-ansi=&quot;Cambria Math&quot;/&gt;&lt;wx:font wx:val=&quot;Cambria Math&quot;/&gt;&lt;w:sz w:val=&quot;24&quot;/&gt;&lt;/w:rPr&gt;&lt;/aml:content&gt;&lt;/aml:annotation&gt;&lt;/m:ctrlPr&gt;&lt;/m:accPr&gt;&lt;m:e&gt;&lt;m:r&gt;&lt;aml:annotation aml:id=&quot;1&quot; w:type=&quot;Word.Insertion&quot; aml:author=&quot;孔珍珍&quot; aml:createdate=&quot;2016-03-22T19:42:00Z&quot;&gt;&lt;aml:content&gt;&lt;w:rPr&gt;&lt;w:rFonts w:ascii=&quot;Cambria Math&quot; w:fareast=&quot;宋体&quot; w:h-ansi=&quot;Cambria Math&quot;/&gt;&lt;wx:font wx:val=&quot;Cambria Math&quot;/&gt;&lt;w:i/&gt;&lt;w:sz w:val=&quot;24&quot;/&gt;&lt;/w:rPr&gt;&lt;m:t&gt;P&lt;/m:t&gt;&lt;/aml:content&gt;&lt;/aml:annotation&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Fonts w:hint="eastAsia" w:ascii="宋体" w:hAnsi="宋体" w:eastAsia="宋体" w:cs="宋体"/>
          <w:sz w:val="24"/>
        </w:rPr>
        <w:instrText xml:space="preserve"> </w:instrText>
      </w:r>
      <w:r>
        <w:rPr>
          <w:rFonts w:hint="eastAsia" w:ascii="宋体" w:hAnsi="宋体" w:eastAsia="宋体" w:cs="宋体"/>
          <w:sz w:val="24"/>
        </w:rPr>
        <w:fldChar w:fldCharType="separate"/>
      </w:r>
      <w:r>
        <w:rPr>
          <w:rFonts w:hint="eastAsia" w:ascii="宋体" w:hAnsi="宋体" w:eastAsia="宋体" w:cs="宋体"/>
          <w:sz w:val="24"/>
        </w:rPr>
        <w:fldChar w:fldCharType="end"/>
      </w:r>
      <w:r>
        <w:rPr>
          <w:rFonts w:hint="eastAsia" w:ascii="宋体" w:hAnsi="宋体" w:eastAsia="宋体" w:cs="宋体"/>
          <w:sz w:val="24"/>
        </w:rPr>
        <w:t>-</w:t>
      </w:r>
      <w:r>
        <w:rPr>
          <w:rFonts w:hint="eastAsia" w:ascii="宋体" w:hAnsi="宋体" w:eastAsia="宋体" w:cs="宋体"/>
        </w:rPr>
        <w:t>施工期平均定额人工费指数（即</w:t>
      </w:r>
      <w:r>
        <w:rPr>
          <w:rFonts w:hint="eastAsia" w:ascii="宋体" w:hAnsi="宋体" w:eastAsia="宋体" w:cs="宋体"/>
          <w:sz w:val="24"/>
        </w:rPr>
        <w:t>∑</w:t>
      </w:r>
      <w:r>
        <w:rPr>
          <w:rFonts w:hint="eastAsia" w:ascii="宋体" w:hAnsi="宋体" w:eastAsia="宋体" w:cs="宋体"/>
          <w:szCs w:val="21"/>
        </w:rPr>
        <w:t>(L</w:t>
      </w:r>
      <w:r>
        <w:rPr>
          <w:rFonts w:hint="eastAsia" w:ascii="宋体" w:hAnsi="宋体" w:eastAsia="宋体" w:cs="宋体"/>
          <w:szCs w:val="21"/>
          <w:vertAlign w:val="subscript"/>
        </w:rPr>
        <w:t>i</w:t>
      </w:r>
      <w:r>
        <w:rPr>
          <w:rFonts w:hint="eastAsia" w:ascii="宋体" w:hAnsi="宋体" w:eastAsia="宋体" w:cs="宋体"/>
          <w:szCs w:val="21"/>
        </w:rPr>
        <w:t>×I</w:t>
      </w:r>
      <w:r>
        <w:rPr>
          <w:rFonts w:hint="eastAsia" w:ascii="宋体" w:hAnsi="宋体" w:eastAsia="宋体" w:cs="宋体"/>
          <w:szCs w:val="21"/>
          <w:vertAlign w:val="subscript"/>
        </w:rPr>
        <w:t>i</w:t>
      </w:r>
      <w:r>
        <w:rPr>
          <w:rFonts w:hint="eastAsia" w:ascii="宋体" w:hAnsi="宋体" w:eastAsia="宋体" w:cs="宋体"/>
          <w:szCs w:val="21"/>
        </w:rPr>
        <w:t>)/L</w:t>
      </w:r>
      <w:r>
        <w:rPr>
          <w:rFonts w:hint="eastAsia" w:ascii="宋体" w:hAnsi="宋体" w:eastAsia="宋体" w:cs="宋体"/>
          <w:szCs w:val="21"/>
          <w:vertAlign w:val="subscript"/>
        </w:rPr>
        <w:t>总</w:t>
      </w:r>
      <w:r>
        <w:rPr>
          <w:rFonts w:hint="eastAsia" w:ascii="宋体" w:hAnsi="宋体" w:eastAsia="宋体" w:cs="宋体"/>
          <w:szCs w:val="21"/>
        </w:rPr>
        <w:t>，L</w:t>
      </w:r>
      <w:r>
        <w:rPr>
          <w:rFonts w:hint="eastAsia" w:ascii="宋体" w:hAnsi="宋体" w:eastAsia="宋体" w:cs="宋体"/>
          <w:szCs w:val="21"/>
          <w:vertAlign w:val="subscript"/>
        </w:rPr>
        <w:t>i</w:t>
      </w:r>
      <w:r>
        <w:rPr>
          <w:rFonts w:hint="eastAsia" w:ascii="宋体" w:hAnsi="宋体" w:eastAsia="宋体" w:cs="宋体"/>
          <w:szCs w:val="21"/>
        </w:rPr>
        <w:t>为施工期第i个月某工种人工费</w:t>
      </w:r>
      <w:r>
        <w:rPr>
          <w:rFonts w:hint="eastAsia" w:ascii="宋体" w:hAnsi="宋体" w:eastAsia="宋体" w:cs="宋体"/>
          <w:sz w:val="24"/>
        </w:rPr>
        <w:t>，</w:t>
      </w:r>
      <w:r>
        <w:rPr>
          <w:rFonts w:hint="eastAsia" w:ascii="宋体" w:hAnsi="宋体" w:eastAsia="宋体" w:cs="宋体"/>
          <w:szCs w:val="21"/>
        </w:rPr>
        <w:t>I</w:t>
      </w:r>
      <w:r>
        <w:rPr>
          <w:rFonts w:hint="eastAsia" w:ascii="宋体" w:hAnsi="宋体" w:eastAsia="宋体" w:cs="宋体"/>
          <w:szCs w:val="21"/>
          <w:vertAlign w:val="subscript"/>
        </w:rPr>
        <w:t>i</w:t>
      </w:r>
      <w:r>
        <w:rPr>
          <w:rFonts w:hint="eastAsia" w:ascii="宋体" w:hAnsi="宋体" w:eastAsia="宋体" w:cs="宋体"/>
          <w:szCs w:val="21"/>
        </w:rPr>
        <w:t>为施工期第i个月当月《深圳建设工程价格信息》某工种定额人工费指数</w:t>
      </w:r>
      <w:r>
        <w:rPr>
          <w:rFonts w:hint="eastAsia" w:ascii="宋体" w:hAnsi="宋体" w:eastAsia="宋体" w:cs="宋体"/>
        </w:rPr>
        <w:t>）；</w:t>
      </w:r>
    </w:p>
    <w:p>
      <w:pPr>
        <w:ind w:left="1050" w:leftChars="500"/>
        <w:rPr>
          <w:rFonts w:hint="eastAsia" w:ascii="宋体" w:hAnsi="宋体" w:eastAsia="宋体" w:cs="宋体"/>
          <w:szCs w:val="21"/>
        </w:rPr>
      </w:pPr>
      <w:r>
        <w:rPr>
          <w:rFonts w:hint="eastAsia" w:ascii="宋体" w:hAnsi="宋体" w:eastAsia="宋体" w:cs="宋体"/>
          <w:szCs w:val="21"/>
        </w:rPr>
        <w:t>I</w:t>
      </w:r>
      <w:r>
        <w:rPr>
          <w:rFonts w:hint="eastAsia" w:ascii="宋体" w:hAnsi="宋体" w:eastAsia="宋体" w:cs="宋体"/>
          <w:szCs w:val="21"/>
          <w:vertAlign w:val="subscript"/>
        </w:rPr>
        <w:t>o</w:t>
      </w:r>
      <w:r>
        <w:rPr>
          <w:rFonts w:hint="eastAsia" w:ascii="宋体" w:hAnsi="宋体" w:eastAsia="宋体" w:cs="宋体"/>
          <w:szCs w:val="21"/>
        </w:rPr>
        <w:t>─投标截止日期前35天的当月或</w:t>
      </w:r>
      <w:r>
        <w:rPr>
          <w:rFonts w:hint="eastAsia" w:ascii="宋体" w:hAnsi="宋体" w:eastAsia="宋体" w:cs="宋体"/>
          <w:b/>
          <w:i/>
          <w:szCs w:val="21"/>
        </w:rPr>
        <w:t>专用条款</w:t>
      </w:r>
      <w:r>
        <w:rPr>
          <w:rFonts w:hint="eastAsia" w:ascii="宋体" w:hAnsi="宋体" w:eastAsia="宋体" w:cs="宋体"/>
          <w:szCs w:val="21"/>
        </w:rPr>
        <w:t>约定月份《深圳建设工程价格信息》某工种定额人工费指数；</w:t>
      </w:r>
    </w:p>
    <w:p>
      <w:pPr>
        <w:ind w:firstLine="1050" w:firstLineChars="500"/>
        <w:rPr>
          <w:rFonts w:hint="eastAsia" w:ascii="宋体" w:hAnsi="宋体" w:eastAsia="宋体" w:cs="宋体"/>
          <w:szCs w:val="21"/>
        </w:rPr>
      </w:pPr>
      <w:r>
        <w:rPr>
          <w:rFonts w:hint="eastAsia" w:ascii="宋体" w:hAnsi="宋体" w:eastAsia="宋体" w:cs="宋体"/>
          <w:szCs w:val="21"/>
        </w:rPr>
        <w:t>C</w:t>
      </w:r>
      <w:r>
        <w:rPr>
          <w:rFonts w:hint="eastAsia" w:ascii="宋体" w:hAnsi="宋体" w:eastAsia="宋体" w:cs="宋体"/>
          <w:szCs w:val="21"/>
          <w:vertAlign w:val="subscript"/>
        </w:rPr>
        <w:t>增</w:t>
      </w:r>
      <w:r>
        <w:rPr>
          <w:rFonts w:hint="eastAsia" w:ascii="宋体" w:hAnsi="宋体" w:eastAsia="宋体" w:cs="宋体"/>
          <w:szCs w:val="21"/>
        </w:rPr>
        <w:t>─调增合同价格；</w:t>
      </w:r>
    </w:p>
    <w:p>
      <w:pPr>
        <w:ind w:firstLine="1050" w:firstLineChars="500"/>
        <w:rPr>
          <w:rFonts w:hint="eastAsia" w:ascii="宋体" w:hAnsi="宋体" w:eastAsia="宋体" w:cs="宋体"/>
          <w:szCs w:val="21"/>
        </w:rPr>
      </w:pPr>
      <w:r>
        <w:rPr>
          <w:rFonts w:hint="eastAsia" w:ascii="宋体" w:hAnsi="宋体" w:eastAsia="宋体" w:cs="宋体"/>
          <w:szCs w:val="21"/>
        </w:rPr>
        <w:t>C</w:t>
      </w:r>
      <w:r>
        <w:rPr>
          <w:rFonts w:hint="eastAsia" w:ascii="宋体" w:hAnsi="宋体" w:eastAsia="宋体" w:cs="宋体"/>
          <w:szCs w:val="21"/>
          <w:vertAlign w:val="subscript"/>
        </w:rPr>
        <w:t>减</w:t>
      </w:r>
      <w:r>
        <w:rPr>
          <w:rFonts w:hint="eastAsia" w:ascii="宋体" w:hAnsi="宋体" w:eastAsia="宋体" w:cs="宋体"/>
          <w:szCs w:val="21"/>
        </w:rPr>
        <w:t>─调减合同价格；</w:t>
      </w:r>
    </w:p>
    <w:p>
      <w:pPr>
        <w:tabs>
          <w:tab w:val="left" w:pos="1620"/>
          <w:tab w:val="left" w:pos="2340"/>
        </w:tabs>
        <w:spacing w:after="156"/>
        <w:ind w:firstLine="1050" w:firstLineChars="500"/>
        <w:jc w:val="left"/>
        <w:rPr>
          <w:rFonts w:hint="eastAsia" w:ascii="宋体" w:hAnsi="宋体" w:eastAsia="宋体" w:cs="宋体"/>
          <w:szCs w:val="21"/>
        </w:rPr>
      </w:pPr>
      <w:r>
        <w:rPr>
          <w:rFonts w:hint="eastAsia" w:ascii="宋体" w:hAnsi="宋体" w:eastAsia="宋体" w:cs="宋体"/>
          <w:szCs w:val="21"/>
        </w:rPr>
        <w:t>L</w:t>
      </w:r>
      <w:r>
        <w:rPr>
          <w:rFonts w:hint="eastAsia" w:ascii="宋体" w:hAnsi="宋体" w:eastAsia="宋体" w:cs="宋体"/>
          <w:szCs w:val="21"/>
          <w:vertAlign w:val="subscript"/>
        </w:rPr>
        <w:t>总</w:t>
      </w:r>
      <w:r>
        <w:rPr>
          <w:rFonts w:hint="eastAsia" w:ascii="宋体" w:hAnsi="宋体" w:eastAsia="宋体" w:cs="宋体"/>
          <w:szCs w:val="21"/>
        </w:rPr>
        <w:t>─本工程某工种总人工费，具体在</w:t>
      </w:r>
      <w:r>
        <w:rPr>
          <w:rFonts w:hint="eastAsia" w:ascii="宋体" w:hAnsi="宋体" w:eastAsia="宋体" w:cs="宋体"/>
          <w:b/>
          <w:i/>
          <w:szCs w:val="21"/>
        </w:rPr>
        <w:t>专用条款</w:t>
      </w:r>
      <w:r>
        <w:rPr>
          <w:rFonts w:hint="eastAsia" w:ascii="宋体" w:hAnsi="宋体" w:eastAsia="宋体" w:cs="宋体"/>
          <w:szCs w:val="21"/>
        </w:rPr>
        <w:t>约定。</w:t>
      </w:r>
    </w:p>
    <w:p>
      <w:pPr>
        <w:pStyle w:val="3"/>
        <w:tabs>
          <w:tab w:val="left" w:pos="540"/>
          <w:tab w:val="left" w:pos="900"/>
        </w:tabs>
        <w:spacing w:before="120" w:after="156"/>
        <w:ind w:left="359" w:firstLine="0"/>
        <w:jc w:val="left"/>
        <w:rPr>
          <w:rFonts w:hint="eastAsia" w:ascii="宋体" w:hAnsi="宋体" w:eastAsia="宋体" w:cs="宋体"/>
          <w:sz w:val="24"/>
        </w:rPr>
      </w:pPr>
      <w:bookmarkStart w:id="798" w:name="_Toc32678"/>
      <w:bookmarkStart w:id="799" w:name="_Toc67418617"/>
      <w:bookmarkStart w:id="800" w:name="_Toc302635840"/>
      <w:bookmarkStart w:id="801" w:name="_Toc305331350"/>
      <w:r>
        <w:rPr>
          <w:rFonts w:hint="eastAsia" w:ascii="宋体" w:hAnsi="宋体" w:cs="宋体"/>
          <w:sz w:val="24"/>
          <w:lang w:val="en-US" w:eastAsia="zh-CN"/>
        </w:rPr>
        <w:t xml:space="preserve">20.7 </w:t>
      </w:r>
      <w:r>
        <w:rPr>
          <w:rFonts w:hint="eastAsia" w:ascii="宋体" w:hAnsi="宋体" w:eastAsia="宋体" w:cs="宋体"/>
          <w:sz w:val="24"/>
        </w:rPr>
        <w:t>合同价格调整程序</w:t>
      </w:r>
      <w:bookmarkEnd w:id="798"/>
      <w:bookmarkEnd w:id="799"/>
      <w:bookmarkEnd w:id="800"/>
      <w:bookmarkEnd w:id="801"/>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⑴承包人应在20.2款约定的合同价格调整情况发生后14天内，将调整原因、金额书面提交给监理人，监理人审核调整金额，并报发包人确认后作为追加(减)合同价格，与工程进度款同期支付。发包人收到通知后14天内未确认也未提出异议的，视为已经同意该项合同价格调整。</w:t>
      </w:r>
      <w:bookmarkEnd w:id="791"/>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⑵当20.2款约定的合同价格调整情况持续进行时，承包人应阶段性向监理人书面提交调整合同价格报告，并在该情况终了后28天内，向监理人提交最终的调整合同价格报告，监理人审核和发包人确认程序与20.7⑴款约定相同。</w:t>
      </w:r>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⑶当承包人未按20.7⑴、⑵款约定的时间内提出调整合同价格报告的，发包人可自行决定是否调整合同价格。发包人应在约定的合同价格调整情况发生后28天内将不调整合同价格的决定书面通知承包人；或将调整合同价格报告提交给承包人确认。承包人收到报告14天内未确认也未提出异议的，视为已经同意该项合同价格调整。</w:t>
      </w:r>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⑷当约定的合同价格调整情况发生后，发包人和承包人均未在前款约定时间内提出调整合同价格意见，视为该调整情况的发生不涉及合同价格的调整。</w:t>
      </w:r>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⑸上述合同价格调整有关文件的编制和审核均须经注册造价工程师签字盖章确认。经发包人和承包人确认调整的合同价格，作为追加(减)合同价款，应与工程进度款同期支付。</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802" w:name="_Toc302635841"/>
      <w:bookmarkStart w:id="803" w:name="_Toc67418618"/>
      <w:bookmarkStart w:id="804" w:name="_Toc11432"/>
      <w:r>
        <w:rPr>
          <w:rFonts w:hint="eastAsia" w:ascii="宋体" w:hAnsi="宋体" w:cs="宋体"/>
          <w:sz w:val="24"/>
          <w:szCs w:val="24"/>
          <w:lang w:val="en-US" w:eastAsia="zh-CN"/>
        </w:rPr>
        <w:t xml:space="preserve">20.8 </w:t>
      </w:r>
      <w:r>
        <w:rPr>
          <w:rFonts w:hint="eastAsia" w:ascii="宋体" w:hAnsi="宋体" w:eastAsia="宋体" w:cs="宋体"/>
          <w:sz w:val="24"/>
          <w:szCs w:val="24"/>
        </w:rPr>
        <w:t>中标净下浮率</w:t>
      </w:r>
      <w:bookmarkEnd w:id="802"/>
      <w:bookmarkEnd w:id="803"/>
      <w:bookmarkEnd w:id="804"/>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中标净下浮率是指中标价相对招标控制价的下浮比例，即：中标净下浮率=(招标控制价-中标价)/招标控制价，其中应扣除安全文明措施费、材料设备暂估价、专业工程暂估价、暂列金额等不可竞争性费用。本工程中标净下浮率应在</w:t>
      </w:r>
      <w:r>
        <w:rPr>
          <w:rFonts w:hint="eastAsia" w:ascii="宋体" w:hAnsi="宋体" w:eastAsia="宋体" w:cs="宋体"/>
          <w:b/>
          <w:i/>
          <w:kern w:val="0"/>
        </w:rPr>
        <w:t>专用条款</w:t>
      </w:r>
      <w:r>
        <w:rPr>
          <w:rFonts w:hint="eastAsia" w:ascii="宋体" w:hAnsi="宋体" w:eastAsia="宋体" w:cs="宋体"/>
          <w:kern w:val="0"/>
        </w:rPr>
        <w:t>中明确。</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805" w:name="_Toc26224"/>
      <w:bookmarkStart w:id="806" w:name="_Toc67418619"/>
      <w:r>
        <w:rPr>
          <w:rFonts w:hint="eastAsia" w:ascii="宋体" w:hAnsi="宋体" w:cs="宋体"/>
          <w:sz w:val="24"/>
          <w:szCs w:val="24"/>
          <w:lang w:val="en-US" w:eastAsia="zh-CN"/>
        </w:rPr>
        <w:t xml:space="preserve">20.9 </w:t>
      </w:r>
      <w:r>
        <w:rPr>
          <w:rFonts w:hint="eastAsia" w:ascii="宋体" w:hAnsi="宋体" w:eastAsia="宋体" w:cs="宋体"/>
          <w:sz w:val="24"/>
          <w:szCs w:val="24"/>
        </w:rPr>
        <w:t>询价采购</w:t>
      </w:r>
      <w:bookmarkEnd w:id="805"/>
      <w:bookmarkEnd w:id="806"/>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⑴未经招标竞价的材料设备同时满足下列情形的，承包人应当进行询价采购：</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①因工程变更而增加的材料设备、暂估价中包含的材料设备等依法不需要另行招标的；</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②采购期前一年内《深圳建设工程价格信息》上未刊登价格；</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③采购估算价超过二十万元。</w:t>
      </w:r>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⑵承包人担任上述材料设备的采购人，采购活动在</w:t>
      </w:r>
      <w:r>
        <w:rPr>
          <w:rFonts w:hint="eastAsia" w:ascii="宋体" w:hAnsi="宋体" w:eastAsia="宋体" w:cs="宋体"/>
          <w:b/>
          <w:i/>
          <w:kern w:val="0"/>
        </w:rPr>
        <w:t>专用条款</w:t>
      </w:r>
      <w:r>
        <w:rPr>
          <w:rFonts w:hint="eastAsia" w:ascii="宋体" w:hAnsi="宋体" w:eastAsia="宋体" w:cs="宋体"/>
          <w:kern w:val="0"/>
        </w:rPr>
        <w:t>约定的询价采购网络服务平台进行。</w:t>
      </w:r>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⑶询价采购活动按以下程序进行，询价采购确定的成交价格可作为工程计价、造价审查及审计的依据。</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①询价采购前，采购人按</w:t>
      </w:r>
      <w:r>
        <w:rPr>
          <w:rFonts w:hint="eastAsia" w:ascii="宋体" w:hAnsi="宋体" w:eastAsia="宋体" w:cs="宋体"/>
          <w:b/>
          <w:i/>
          <w:kern w:val="0"/>
        </w:rPr>
        <w:t>专用条款</w:t>
      </w:r>
      <w:r>
        <w:rPr>
          <w:rFonts w:hint="eastAsia" w:ascii="宋体" w:hAnsi="宋体" w:eastAsia="宋体" w:cs="宋体"/>
          <w:kern w:val="0"/>
        </w:rPr>
        <w:t>约定成立询价采购小组，小组由五人以上单数组成，成员可从与询价采购活动相关的发包人、承包人、监理人、设计人、造价咨询单位中选取；</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②采购人按相关办法规定及</w:t>
      </w:r>
      <w:r>
        <w:rPr>
          <w:rFonts w:hint="eastAsia" w:ascii="宋体" w:hAnsi="宋体" w:eastAsia="宋体" w:cs="宋体"/>
          <w:b/>
          <w:i/>
          <w:kern w:val="0"/>
        </w:rPr>
        <w:t>专用条款</w:t>
      </w:r>
      <w:r>
        <w:rPr>
          <w:rFonts w:hint="eastAsia" w:ascii="宋体" w:hAnsi="宋体" w:eastAsia="宋体" w:cs="宋体"/>
          <w:kern w:val="0"/>
        </w:rPr>
        <w:t>约定编制询价采购文件，并在询价采购网络服务平台发布；</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③符合询价采购文件要求的供应商在报价截止日期前，通过询价采购网络服务平台一次性报出不得更改的价格；</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④询价采购小组在评审时间内统一评审报价文件，在满足询价采购文件各项要求的情况下，按照性价比最优原则推荐不少于三家供应商。评审完成后，询价采购小组向采购人提交评审报告；</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⑤采购人根据询价采购小组意见及相关规定，确定供应商及成交价格；</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⑥采购人按相关办法规定对询价采购结果在询价采购网络服务平台进行公示。</w:t>
      </w:r>
    </w:p>
    <w:p>
      <w:pPr>
        <w:pStyle w:val="2"/>
        <w:keepNext w:val="0"/>
        <w:keepLines w:val="0"/>
        <w:widowControl w:val="0"/>
        <w:tabs>
          <w:tab w:val="left" w:pos="720"/>
          <w:tab w:val="left" w:pos="1620"/>
          <w:tab w:val="left" w:pos="2340"/>
        </w:tabs>
        <w:spacing w:before="240" w:after="120"/>
        <w:ind w:left="178" w:firstLine="0"/>
        <w:rPr>
          <w:rFonts w:hint="eastAsia" w:ascii="宋体" w:hAnsi="宋体" w:eastAsia="宋体" w:cs="宋体"/>
        </w:rPr>
      </w:pPr>
      <w:bookmarkStart w:id="807" w:name="_Toc24612"/>
      <w:bookmarkStart w:id="808" w:name="_Toc67418620"/>
      <w:bookmarkStart w:id="809" w:name="_Toc302635842"/>
      <w:r>
        <w:rPr>
          <w:rFonts w:hint="eastAsia" w:ascii="宋体" w:cs="宋体"/>
          <w:lang w:val="en-US" w:eastAsia="zh-CN"/>
        </w:rPr>
        <w:t xml:space="preserve">21 </w:t>
      </w:r>
      <w:r>
        <w:rPr>
          <w:rFonts w:hint="eastAsia" w:ascii="宋体" w:hAnsi="宋体" w:eastAsia="宋体" w:cs="宋体"/>
        </w:rPr>
        <w:t>暂估价和暂列金额</w:t>
      </w:r>
      <w:bookmarkEnd w:id="807"/>
      <w:bookmarkEnd w:id="808"/>
      <w:bookmarkEnd w:id="809"/>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810" w:name="_Toc399"/>
      <w:bookmarkStart w:id="811" w:name="_Toc67418621"/>
      <w:bookmarkStart w:id="812" w:name="_Toc302635843"/>
      <w:bookmarkStart w:id="813" w:name="_Toc305331351"/>
      <w:bookmarkStart w:id="814" w:name="_Toc34909080"/>
      <w:r>
        <w:rPr>
          <w:rFonts w:hint="eastAsia" w:ascii="宋体" w:hAnsi="宋体" w:cs="宋体"/>
          <w:sz w:val="24"/>
          <w:szCs w:val="24"/>
          <w:lang w:val="en-US" w:eastAsia="zh-CN"/>
        </w:rPr>
        <w:t xml:space="preserve">21.1 </w:t>
      </w:r>
      <w:r>
        <w:rPr>
          <w:rFonts w:hint="eastAsia" w:ascii="宋体" w:hAnsi="宋体" w:eastAsia="宋体" w:cs="宋体"/>
          <w:sz w:val="24"/>
          <w:szCs w:val="24"/>
        </w:rPr>
        <w:t>材料设备暂估价</w:t>
      </w:r>
      <w:bookmarkEnd w:id="810"/>
      <w:bookmarkEnd w:id="811"/>
      <w:bookmarkEnd w:id="812"/>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⑴材料设备暂估价是发包人在工程量清单中提供的用于支付必然发生但暂时不能确定的材料设备的单价。发包人、承包人应在</w:t>
      </w:r>
      <w:r>
        <w:rPr>
          <w:rFonts w:hint="eastAsia" w:ascii="宋体" w:hAnsi="宋体" w:eastAsia="宋体" w:cs="宋体"/>
          <w:b/>
          <w:i/>
          <w:kern w:val="0"/>
        </w:rPr>
        <w:t>专用条款</w:t>
      </w:r>
      <w:r>
        <w:rPr>
          <w:rFonts w:hint="eastAsia" w:ascii="宋体" w:hAnsi="宋体" w:eastAsia="宋体" w:cs="宋体"/>
          <w:kern w:val="0"/>
        </w:rPr>
        <w:t>中就上述材料设备的名称、规格、单位和暂估单价进行约定。该材料设备暂估价不作为竣工结算依据。</w:t>
      </w:r>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⑵如21.1⑴款所述暂估的材料设备属按规定必须招标的，应由发包人提出技术标准和最高限价，由承包人通过招标方式确定该材料设备单价。</w:t>
      </w:r>
    </w:p>
    <w:p>
      <w:pPr>
        <w:tabs>
          <w:tab w:val="left" w:pos="1620"/>
          <w:tab w:val="left" w:pos="2340"/>
        </w:tabs>
        <w:spacing w:before="156"/>
        <w:ind w:left="899"/>
        <w:jc w:val="left"/>
        <w:rPr>
          <w:rFonts w:hint="eastAsia" w:ascii="宋体" w:hAnsi="宋体" w:eastAsia="宋体" w:cs="宋体"/>
          <w:kern w:val="0"/>
        </w:rPr>
      </w:pPr>
      <w:r>
        <w:rPr>
          <w:rFonts w:hint="eastAsia" w:ascii="宋体" w:hAnsi="宋体" w:eastAsia="宋体" w:cs="宋体"/>
          <w:kern w:val="0"/>
        </w:rPr>
        <w:t>⑶如21.1⑴款所述暂估的材料设备不属于按规定必须招标的，由承发包双方按</w:t>
      </w:r>
      <w:r>
        <w:rPr>
          <w:rFonts w:hint="eastAsia" w:ascii="宋体" w:hAnsi="宋体" w:eastAsia="宋体" w:cs="宋体"/>
          <w:b/>
          <w:i/>
          <w:kern w:val="0"/>
        </w:rPr>
        <w:t>专用条款</w:t>
      </w:r>
      <w:r>
        <w:rPr>
          <w:rFonts w:hint="eastAsia" w:ascii="宋体" w:hAnsi="宋体" w:eastAsia="宋体" w:cs="宋体"/>
          <w:kern w:val="0"/>
        </w:rPr>
        <w:t>中约定的方式确定该材料设备单价。</w:t>
      </w:r>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⑷材料设备暂估价应按承发包双方最终确认的价格调整价差，价差调整部分不计利润。</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815" w:name="_Toc67418622"/>
      <w:bookmarkStart w:id="816" w:name="_Toc302635844"/>
      <w:bookmarkStart w:id="817" w:name="_Toc9894"/>
      <w:r>
        <w:rPr>
          <w:rFonts w:hint="eastAsia" w:ascii="宋体" w:hAnsi="宋体" w:cs="宋体"/>
          <w:sz w:val="24"/>
          <w:szCs w:val="24"/>
          <w:lang w:val="en-US" w:eastAsia="zh-CN"/>
        </w:rPr>
        <w:t xml:space="preserve">21.2 </w:t>
      </w:r>
      <w:r>
        <w:rPr>
          <w:rFonts w:hint="eastAsia" w:ascii="宋体" w:hAnsi="宋体" w:eastAsia="宋体" w:cs="宋体"/>
          <w:sz w:val="24"/>
          <w:szCs w:val="24"/>
        </w:rPr>
        <w:t>专业工程暂估价</w:t>
      </w:r>
      <w:bookmarkEnd w:id="813"/>
      <w:bookmarkEnd w:id="815"/>
      <w:bookmarkEnd w:id="816"/>
      <w:bookmarkEnd w:id="817"/>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⑴专业工程暂估价是发包人在工程量清单中提供的用于支付必然发生但暂时不能确定的专业工程金额。发包人、承包人应在</w:t>
      </w:r>
      <w:r>
        <w:rPr>
          <w:rFonts w:hint="eastAsia" w:ascii="宋体" w:hAnsi="宋体" w:eastAsia="宋体" w:cs="宋体"/>
          <w:b/>
          <w:i/>
          <w:kern w:val="0"/>
        </w:rPr>
        <w:t>专用条款</w:t>
      </w:r>
      <w:r>
        <w:rPr>
          <w:rFonts w:hint="eastAsia" w:ascii="宋体" w:hAnsi="宋体" w:eastAsia="宋体" w:cs="宋体"/>
          <w:kern w:val="0"/>
        </w:rPr>
        <w:t>中就上述专业工程的名称和暂估价款进行约定。该专业工程暂估价不作为结算依据。</w:t>
      </w:r>
    </w:p>
    <w:bookmarkEnd w:id="814"/>
    <w:p>
      <w:pPr>
        <w:tabs>
          <w:tab w:val="left" w:pos="1620"/>
          <w:tab w:val="left" w:pos="2340"/>
        </w:tabs>
        <w:spacing w:before="156" w:after="156"/>
        <w:ind w:left="899"/>
        <w:jc w:val="left"/>
        <w:rPr>
          <w:rFonts w:hint="eastAsia" w:ascii="宋体" w:hAnsi="宋体" w:eastAsia="宋体" w:cs="宋体"/>
          <w:kern w:val="0"/>
        </w:rPr>
      </w:pPr>
      <w:bookmarkStart w:id="818" w:name="_Toc34909081"/>
      <w:r>
        <w:rPr>
          <w:rFonts w:hint="eastAsia" w:ascii="宋体" w:hAnsi="宋体" w:eastAsia="宋体" w:cs="宋体"/>
          <w:kern w:val="0"/>
        </w:rPr>
        <w:t>⑵如21.2⑴款所述暂估的专业工程属按规定必须招标的，应由发包人通过招标方式确定该专业工程结算价款。</w:t>
      </w:r>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⑶如21.2⑴款所述暂估的专业工程不属于按规定必须招标的，除</w:t>
      </w:r>
      <w:r>
        <w:rPr>
          <w:rFonts w:hint="eastAsia" w:ascii="宋体" w:hAnsi="宋体" w:eastAsia="宋体" w:cs="宋体"/>
          <w:b/>
          <w:i/>
          <w:kern w:val="0"/>
        </w:rPr>
        <w:t>专用条款</w:t>
      </w:r>
      <w:r>
        <w:rPr>
          <w:rFonts w:hint="eastAsia" w:ascii="宋体" w:hAnsi="宋体" w:eastAsia="宋体" w:cs="宋体"/>
          <w:kern w:val="0"/>
        </w:rPr>
        <w:t>另有约定外，发包人和承包人应按照本工程招标控制价的编制方法，根据专业工程施工图等计算，并按本工程净下浮率进行下浮调整确定该专业工程结算价款。</w:t>
      </w:r>
    </w:p>
    <w:bookmarkEnd w:id="818"/>
    <w:p>
      <w:pPr>
        <w:pStyle w:val="3"/>
        <w:tabs>
          <w:tab w:val="left" w:pos="540"/>
          <w:tab w:val="left" w:pos="900"/>
        </w:tabs>
        <w:spacing w:before="120" w:after="156"/>
        <w:ind w:left="359" w:firstLine="0"/>
        <w:jc w:val="left"/>
        <w:rPr>
          <w:rFonts w:hint="eastAsia" w:ascii="宋体" w:hAnsi="宋体" w:eastAsia="宋体" w:cs="宋体"/>
          <w:sz w:val="24"/>
          <w:szCs w:val="24"/>
        </w:rPr>
      </w:pPr>
      <w:bookmarkStart w:id="819" w:name="_Toc67418623"/>
      <w:bookmarkStart w:id="820" w:name="_Toc18372"/>
      <w:bookmarkStart w:id="821" w:name="_Toc305331352"/>
      <w:bookmarkStart w:id="822" w:name="_Toc302635845"/>
      <w:bookmarkStart w:id="823" w:name="_Toc34909082"/>
      <w:r>
        <w:rPr>
          <w:rFonts w:hint="eastAsia" w:ascii="宋体" w:hAnsi="宋体" w:cs="宋体"/>
          <w:sz w:val="24"/>
          <w:szCs w:val="24"/>
          <w:lang w:val="en-US" w:eastAsia="zh-CN"/>
        </w:rPr>
        <w:t xml:space="preserve">21.3 </w:t>
      </w:r>
      <w:r>
        <w:rPr>
          <w:rFonts w:hint="eastAsia" w:ascii="宋体" w:hAnsi="宋体" w:eastAsia="宋体" w:cs="宋体"/>
          <w:sz w:val="24"/>
          <w:szCs w:val="24"/>
        </w:rPr>
        <w:t>暂列金额</w:t>
      </w:r>
      <w:bookmarkEnd w:id="819"/>
      <w:bookmarkEnd w:id="820"/>
      <w:bookmarkEnd w:id="821"/>
      <w:bookmarkEnd w:id="822"/>
    </w:p>
    <w:bookmarkEnd w:id="823"/>
    <w:p>
      <w:pPr>
        <w:tabs>
          <w:tab w:val="left" w:pos="1620"/>
          <w:tab w:val="left" w:pos="2340"/>
        </w:tabs>
        <w:spacing w:before="156"/>
        <w:ind w:left="899"/>
        <w:jc w:val="left"/>
        <w:rPr>
          <w:rFonts w:hint="eastAsia" w:ascii="宋体" w:hAnsi="宋体" w:eastAsia="宋体" w:cs="宋体"/>
          <w:kern w:val="0"/>
        </w:rPr>
      </w:pPr>
      <w:r>
        <w:rPr>
          <w:rFonts w:hint="eastAsia" w:ascii="宋体" w:hAnsi="宋体" w:eastAsia="宋体" w:cs="宋体"/>
          <w:kern w:val="0"/>
        </w:rPr>
        <w:t>⑴暂列金额是发包人在工程量清单中暂定并包括在签约合同价中的一笔款项，用于下列事项的费用支出：</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①本合同签订时尚未确定或不可预见的所需材料、设备、服务的采购；</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②施工中可能发生的工程变更；</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③合同约定调整因素出现时对合同价格所作的调整；</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④索赔；</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⑤现场签证。</w:t>
      </w:r>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⑵暂列金额是发包人为可能发生的费用而预留的金额，并非支付给承包人的实际费用。暂列金额应按照发包人的要求使用，发包人的要求应通过监理人发出。暂列金额不作为结算的依据。暂列金额的最终确定按本合同有关21.3⑴款有关事项的具体条款执行。</w:t>
      </w:r>
    </w:p>
    <w:p>
      <w:pPr>
        <w:pStyle w:val="2"/>
        <w:keepNext w:val="0"/>
        <w:keepLines w:val="0"/>
        <w:widowControl w:val="0"/>
        <w:tabs>
          <w:tab w:val="left" w:pos="720"/>
          <w:tab w:val="left" w:pos="1620"/>
          <w:tab w:val="left" w:pos="2340"/>
        </w:tabs>
        <w:spacing w:before="240" w:after="120"/>
        <w:ind w:left="178" w:firstLine="0"/>
        <w:rPr>
          <w:rFonts w:hint="eastAsia" w:ascii="宋体" w:hAnsi="宋体" w:eastAsia="宋体" w:cs="宋体"/>
        </w:rPr>
      </w:pPr>
      <w:bookmarkStart w:id="824" w:name="_Toc35656992"/>
      <w:bookmarkStart w:id="825" w:name="_Toc35656490"/>
      <w:bookmarkStart w:id="826" w:name="_Toc34909085"/>
      <w:bookmarkStart w:id="827" w:name="_Toc302635846"/>
      <w:bookmarkStart w:id="828" w:name="_Toc67418624"/>
      <w:bookmarkStart w:id="829" w:name="_Toc27149"/>
      <w:bookmarkStart w:id="830" w:name="_Toc305331353"/>
      <w:r>
        <w:rPr>
          <w:rFonts w:hint="eastAsia" w:ascii="宋体" w:cs="宋体"/>
          <w:lang w:val="en-US" w:eastAsia="zh-CN"/>
        </w:rPr>
        <w:t xml:space="preserve">22 </w:t>
      </w:r>
      <w:r>
        <w:rPr>
          <w:rFonts w:hint="eastAsia" w:ascii="宋体" w:hAnsi="宋体" w:eastAsia="宋体" w:cs="宋体"/>
        </w:rPr>
        <w:t>工程量</w:t>
      </w:r>
      <w:bookmarkEnd w:id="824"/>
      <w:bookmarkEnd w:id="825"/>
      <w:bookmarkEnd w:id="826"/>
      <w:r>
        <w:rPr>
          <w:rFonts w:hint="eastAsia" w:ascii="宋体" w:hAnsi="宋体" w:eastAsia="宋体" w:cs="宋体"/>
        </w:rPr>
        <w:t>计量</w:t>
      </w:r>
      <w:bookmarkEnd w:id="827"/>
      <w:bookmarkEnd w:id="828"/>
      <w:bookmarkEnd w:id="829"/>
      <w:bookmarkEnd w:id="830"/>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831" w:name="_Toc305331354"/>
      <w:bookmarkStart w:id="832" w:name="_Toc30548"/>
      <w:bookmarkStart w:id="833" w:name="_Toc67418625"/>
      <w:bookmarkStart w:id="834" w:name="_Toc302635847"/>
      <w:bookmarkStart w:id="835" w:name="_Toc34909091"/>
      <w:bookmarkStart w:id="836" w:name="_Toc34909086"/>
      <w:r>
        <w:rPr>
          <w:rFonts w:hint="eastAsia" w:ascii="宋体" w:hAnsi="宋体" w:cs="宋体"/>
          <w:sz w:val="24"/>
          <w:szCs w:val="24"/>
          <w:lang w:val="en-US" w:eastAsia="zh-CN"/>
        </w:rPr>
        <w:t xml:space="preserve">22.1 </w:t>
      </w:r>
      <w:r>
        <w:rPr>
          <w:rFonts w:hint="eastAsia" w:ascii="宋体" w:hAnsi="宋体" w:eastAsia="宋体" w:cs="宋体"/>
          <w:sz w:val="24"/>
          <w:szCs w:val="24"/>
        </w:rPr>
        <w:t>工程量清单</w:t>
      </w:r>
      <w:bookmarkEnd w:id="831"/>
      <w:bookmarkEnd w:id="832"/>
      <w:bookmarkEnd w:id="833"/>
      <w:bookmarkEnd w:id="834"/>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⑴发包人在本工程招标文件中提供的工程量清单所开列的工程量是根据本工程的设计图纸提供的预计工程量，不能作为承包人在履行合同义务过程中应予完成的实际和准确的工程量，不作为期中结算和竣工结算时确认工程量的依据。</w:t>
      </w:r>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⑵承包人实际应予完成的工程量以本工程图纸和技术规范为准。期中结算和竣工结算时的结算工程量按第22.5款有关工程量计量的结果确认。</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837" w:name="_Toc29513"/>
      <w:bookmarkStart w:id="838" w:name="_Toc67418626"/>
      <w:bookmarkStart w:id="839" w:name="_Toc302635848"/>
      <w:bookmarkStart w:id="840" w:name="_Toc305331355"/>
      <w:bookmarkStart w:id="841" w:name="_Toc34909087"/>
      <w:r>
        <w:rPr>
          <w:rFonts w:hint="eastAsia" w:ascii="宋体" w:hAnsi="宋体" w:cs="宋体"/>
          <w:sz w:val="24"/>
          <w:szCs w:val="24"/>
          <w:lang w:val="en-US" w:eastAsia="zh-CN"/>
        </w:rPr>
        <w:t xml:space="preserve">22.2 </w:t>
      </w:r>
      <w:r>
        <w:rPr>
          <w:rFonts w:hint="eastAsia" w:ascii="宋体" w:hAnsi="宋体" w:eastAsia="宋体" w:cs="宋体"/>
          <w:sz w:val="24"/>
          <w:szCs w:val="24"/>
        </w:rPr>
        <w:t>工程量清单缺项和项目特征不符</w:t>
      </w:r>
      <w:bookmarkEnd w:id="837"/>
      <w:bookmarkEnd w:id="838"/>
      <w:bookmarkEnd w:id="839"/>
    </w:p>
    <w:bookmarkEnd w:id="840"/>
    <w:bookmarkEnd w:id="841"/>
    <w:p>
      <w:pPr>
        <w:tabs>
          <w:tab w:val="left" w:pos="1620"/>
          <w:tab w:val="left" w:pos="2340"/>
        </w:tabs>
        <w:spacing w:after="156"/>
        <w:ind w:left="899"/>
        <w:jc w:val="left"/>
        <w:rPr>
          <w:rFonts w:hint="eastAsia" w:ascii="宋体" w:hAnsi="宋体" w:eastAsia="宋体" w:cs="宋体"/>
          <w:kern w:val="0"/>
        </w:rPr>
      </w:pPr>
      <w:bookmarkStart w:id="842" w:name="_Toc305331356"/>
      <w:r>
        <w:rPr>
          <w:rFonts w:hint="eastAsia" w:ascii="宋体" w:hAnsi="宋体" w:eastAsia="宋体" w:cs="宋体"/>
          <w:kern w:val="0"/>
        </w:rPr>
        <w:t>⑴本合同签订后</w:t>
      </w:r>
      <w:r>
        <w:rPr>
          <w:rFonts w:hint="eastAsia" w:ascii="宋体" w:hAnsi="宋体" w:eastAsia="宋体" w:cs="宋体"/>
          <w:b/>
          <w:kern w:val="0"/>
        </w:rPr>
        <w:t>56天</w:t>
      </w:r>
      <w:r>
        <w:rPr>
          <w:rFonts w:hint="eastAsia" w:ascii="宋体" w:hAnsi="宋体" w:eastAsia="宋体" w:cs="宋体"/>
          <w:kern w:val="0"/>
        </w:rPr>
        <w:t>内，承包人应根据招标时发包人提供的图纸对发包人提供的工程量清单进行复核，复核结果报监理人核对、发包人确认。</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⑵若发包人提供的工程量清单相比招标时发包人提供的图纸，出现缺项或项目特征描述与图纸不符时，发包人应对工程量清单进行补充或调整，补充或调整的工程量清单项目的综合单价按25.1款的约定确定。</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⑶出现工程量清单中措施项目缺项的，或按前款补充分部分项工程清单项目后引起措施项目发生变化的，应当按25.1款的约定，在承包人提交的实施方案被发包人批准后对合同价格进行调整。</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843" w:name="_Toc21375"/>
      <w:bookmarkStart w:id="844" w:name="_Toc67418627"/>
      <w:bookmarkStart w:id="845" w:name="_Toc302635849"/>
      <w:r>
        <w:rPr>
          <w:rFonts w:hint="eastAsia" w:ascii="宋体" w:hAnsi="宋体" w:cs="宋体"/>
          <w:sz w:val="24"/>
          <w:szCs w:val="24"/>
          <w:lang w:val="en-US" w:eastAsia="zh-CN"/>
        </w:rPr>
        <w:t xml:space="preserve">22.3 </w:t>
      </w:r>
      <w:r>
        <w:rPr>
          <w:rFonts w:hint="eastAsia" w:ascii="宋体" w:hAnsi="宋体" w:eastAsia="宋体" w:cs="宋体"/>
          <w:sz w:val="24"/>
          <w:szCs w:val="24"/>
        </w:rPr>
        <w:t>工程量计算规则</w:t>
      </w:r>
      <w:bookmarkEnd w:id="842"/>
      <w:bookmarkEnd w:id="843"/>
      <w:bookmarkEnd w:id="844"/>
      <w:bookmarkEnd w:id="845"/>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发包人和承包人应以</w:t>
      </w:r>
      <w:r>
        <w:rPr>
          <w:rFonts w:hint="eastAsia" w:ascii="宋体" w:hAnsi="宋体" w:eastAsia="宋体" w:cs="宋体"/>
          <w:b/>
          <w:i/>
          <w:kern w:val="0"/>
        </w:rPr>
        <w:t>专用条款</w:t>
      </w:r>
      <w:r>
        <w:rPr>
          <w:rFonts w:hint="eastAsia" w:ascii="宋体" w:hAnsi="宋体" w:eastAsia="宋体" w:cs="宋体"/>
          <w:kern w:val="0"/>
        </w:rPr>
        <w:t>中约定的工程量计算规则</w:t>
      </w:r>
      <w:bookmarkEnd w:id="835"/>
      <w:r>
        <w:rPr>
          <w:rFonts w:hint="eastAsia" w:ascii="宋体" w:hAnsi="宋体" w:eastAsia="宋体" w:cs="宋体"/>
          <w:kern w:val="0"/>
        </w:rPr>
        <w:t>，作为本工程期中结算、竣工结算以及20.2款约定的合同价格调整情形发生时涉及工程量的计算规则。</w:t>
      </w:r>
    </w:p>
    <w:bookmarkEnd w:id="836"/>
    <w:p>
      <w:pPr>
        <w:pStyle w:val="3"/>
        <w:tabs>
          <w:tab w:val="left" w:pos="540"/>
          <w:tab w:val="left" w:pos="900"/>
        </w:tabs>
        <w:spacing w:before="120" w:after="156"/>
        <w:ind w:left="359" w:firstLine="0"/>
        <w:jc w:val="left"/>
        <w:rPr>
          <w:rFonts w:hint="eastAsia" w:ascii="宋体" w:hAnsi="宋体" w:eastAsia="宋体" w:cs="宋体"/>
          <w:sz w:val="24"/>
          <w:szCs w:val="24"/>
        </w:rPr>
      </w:pPr>
      <w:bookmarkStart w:id="846" w:name="_Toc302635850"/>
      <w:bookmarkStart w:id="847" w:name="_Toc14414"/>
      <w:bookmarkStart w:id="848" w:name="_Toc67418628"/>
      <w:bookmarkStart w:id="849" w:name="_Toc305331357"/>
      <w:bookmarkStart w:id="850" w:name="_Toc34909088"/>
      <w:r>
        <w:rPr>
          <w:rFonts w:hint="eastAsia" w:ascii="宋体" w:hAnsi="宋体" w:cs="宋体"/>
          <w:sz w:val="24"/>
          <w:szCs w:val="24"/>
          <w:lang w:val="en-US" w:eastAsia="zh-CN"/>
        </w:rPr>
        <w:t xml:space="preserve">22.4 </w:t>
      </w:r>
      <w:r>
        <w:rPr>
          <w:rFonts w:hint="eastAsia" w:ascii="宋体" w:hAnsi="宋体" w:eastAsia="宋体" w:cs="宋体"/>
          <w:sz w:val="24"/>
          <w:szCs w:val="24"/>
        </w:rPr>
        <w:t>工程量计量的程序</w:t>
      </w:r>
      <w:bookmarkEnd w:id="846"/>
      <w:bookmarkEnd w:id="847"/>
      <w:bookmarkEnd w:id="848"/>
      <w:bookmarkEnd w:id="849"/>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⑴承包人应按照23.2款约定的期中结算时间间隔要求，根据本工程进展情况及时就已完工程量向监理人提交计量报告，监理人应在收到计量报告后7天内对承包人提出的工程量报表审核并报送发包人。</w:t>
      </w:r>
      <w:bookmarkEnd w:id="850"/>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⑵需要使用记录和图纸进行计量的工程，承包人应在工作过程中准备好该工程的记录和图纸，并提交给监理人，监理人应在收到计量报告后7天内对承包人提出的工程量报表及有关记录和图纸审核并报送发包人。</w:t>
      </w:r>
    </w:p>
    <w:p>
      <w:pPr>
        <w:tabs>
          <w:tab w:val="left" w:pos="1620"/>
          <w:tab w:val="left" w:pos="2340"/>
        </w:tabs>
        <w:spacing w:before="156" w:after="156"/>
        <w:ind w:left="899"/>
        <w:jc w:val="left"/>
        <w:rPr>
          <w:rFonts w:hint="eastAsia" w:ascii="宋体" w:hAnsi="宋体" w:eastAsia="宋体" w:cs="宋体"/>
          <w:kern w:val="0"/>
        </w:rPr>
      </w:pPr>
      <w:bookmarkStart w:id="851" w:name="_Toc34909092"/>
      <w:r>
        <w:rPr>
          <w:rFonts w:hint="eastAsia" w:ascii="宋体" w:hAnsi="宋体" w:eastAsia="宋体" w:cs="宋体"/>
          <w:kern w:val="0"/>
        </w:rPr>
        <w:t>⑶监理人对工程量有异议的，有权要求承包人进行共同复核或抽样复测。承包人应协助监理人进行复核或抽样复测，并按监理人要求提供补充计量资料。</w:t>
      </w:r>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⑷有关工程量计量的文件的编制和审核均须经注册造价工程师签字盖章确认。</w:t>
      </w:r>
      <w:bookmarkEnd w:id="851"/>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852" w:name="_Toc67418629"/>
      <w:bookmarkStart w:id="853" w:name="_Toc302635851"/>
      <w:bookmarkStart w:id="854" w:name="_Toc34909089"/>
      <w:bookmarkStart w:id="855" w:name="_Toc13435"/>
      <w:bookmarkStart w:id="856" w:name="_Toc305331358"/>
      <w:r>
        <w:rPr>
          <w:rFonts w:hint="eastAsia" w:ascii="宋体" w:hAnsi="宋体" w:cs="宋体"/>
          <w:sz w:val="24"/>
          <w:szCs w:val="24"/>
          <w:lang w:val="en-US" w:eastAsia="zh-CN"/>
        </w:rPr>
        <w:t xml:space="preserve">22.5 </w:t>
      </w:r>
      <w:r>
        <w:rPr>
          <w:rFonts w:hint="eastAsia" w:ascii="宋体" w:hAnsi="宋体" w:eastAsia="宋体" w:cs="宋体"/>
          <w:sz w:val="24"/>
          <w:szCs w:val="24"/>
        </w:rPr>
        <w:t>工程量计量的结果</w:t>
      </w:r>
      <w:bookmarkEnd w:id="852"/>
      <w:bookmarkEnd w:id="853"/>
      <w:bookmarkEnd w:id="854"/>
      <w:bookmarkEnd w:id="855"/>
      <w:bookmarkEnd w:id="856"/>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⑴如承包人未按22.4款的约定参加计量，则由监理人所作的或由他批准的计量应认为是对工程的正确计量。</w:t>
      </w:r>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⑵如监理人未在22.4款约定的时间内进行计量，则承包人提交的计量报告中所列工程量即视为被确认。</w:t>
      </w:r>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⑶如监理人未按22.4款约定的时间内通知承包人，致使承包人未能参加计量，则由监理人所作的或由他批准的计量结果无效。</w:t>
      </w:r>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⑷对于因承包人原因造成的超出本合同工程承包范围的增加工程量及返工工程量，监理人不予计量。</w:t>
      </w:r>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⑸如承包人不同意监理人计量的结果，应在收到上述结果后7天内向监理人提出书面意见，并附上其认为正确的计量结果和计算资料。监理人收到上述书面意见后，应在7天内对承包人的计量结果进行复核后通知承包人。承包人对复核计量结果仍有异议的，按照合同约定的争议解决办法处理。</w:t>
      </w:r>
    </w:p>
    <w:p>
      <w:pPr>
        <w:pStyle w:val="2"/>
        <w:keepNext w:val="0"/>
        <w:keepLines w:val="0"/>
        <w:widowControl w:val="0"/>
        <w:tabs>
          <w:tab w:val="left" w:pos="720"/>
          <w:tab w:val="left" w:pos="1620"/>
          <w:tab w:val="left" w:pos="2340"/>
        </w:tabs>
        <w:spacing w:before="240" w:after="120"/>
        <w:ind w:left="178" w:firstLine="0"/>
        <w:rPr>
          <w:rFonts w:hint="eastAsia" w:ascii="宋体" w:hAnsi="宋体" w:eastAsia="宋体" w:cs="宋体"/>
        </w:rPr>
      </w:pPr>
      <w:bookmarkStart w:id="857" w:name="_Toc20309"/>
      <w:bookmarkStart w:id="858" w:name="_Toc67418630"/>
      <w:r>
        <w:rPr>
          <w:rFonts w:hint="eastAsia" w:ascii="宋体" w:cs="宋体"/>
          <w:lang w:val="en-US" w:eastAsia="zh-CN"/>
        </w:rPr>
        <w:t xml:space="preserve">23 </w:t>
      </w:r>
      <w:r>
        <w:rPr>
          <w:rFonts w:hint="eastAsia" w:ascii="宋体" w:hAnsi="宋体" w:eastAsia="宋体" w:cs="宋体"/>
        </w:rPr>
        <w:t>工程款支付</w:t>
      </w:r>
      <w:bookmarkEnd w:id="857"/>
      <w:bookmarkEnd w:id="858"/>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本项目无须承包人带资施工，工程款按以下方式支付。</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859" w:name="_Toc67418631"/>
      <w:bookmarkStart w:id="860" w:name="_Toc305331360"/>
      <w:bookmarkStart w:id="861" w:name="_Toc25362"/>
      <w:bookmarkStart w:id="862" w:name="_Toc302635853"/>
      <w:bookmarkStart w:id="863" w:name="_Toc34909094"/>
      <w:r>
        <w:rPr>
          <w:rFonts w:hint="eastAsia" w:ascii="宋体" w:hAnsi="宋体" w:cs="宋体"/>
          <w:sz w:val="24"/>
          <w:szCs w:val="24"/>
          <w:lang w:val="en-US" w:eastAsia="zh-CN"/>
        </w:rPr>
        <w:t xml:space="preserve">23.1 </w:t>
      </w:r>
      <w:r>
        <w:rPr>
          <w:rFonts w:hint="eastAsia" w:ascii="宋体" w:hAnsi="宋体" w:eastAsia="宋体" w:cs="宋体"/>
          <w:sz w:val="24"/>
          <w:szCs w:val="24"/>
        </w:rPr>
        <w:t>工程预付款</w:t>
      </w:r>
      <w:bookmarkEnd w:id="859"/>
      <w:bookmarkEnd w:id="860"/>
      <w:bookmarkEnd w:id="861"/>
      <w:bookmarkEnd w:id="862"/>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⑴发包人和承包人应在</w:t>
      </w:r>
      <w:r>
        <w:rPr>
          <w:rFonts w:hint="eastAsia" w:ascii="宋体" w:hAnsi="宋体" w:eastAsia="宋体" w:cs="宋体"/>
          <w:b/>
          <w:i/>
          <w:kern w:val="0"/>
        </w:rPr>
        <w:t>专用条款</w:t>
      </w:r>
      <w:r>
        <w:rPr>
          <w:rFonts w:hint="eastAsia" w:ascii="宋体" w:hAnsi="宋体" w:eastAsia="宋体" w:cs="宋体"/>
          <w:kern w:val="0"/>
        </w:rPr>
        <w:t>中约定一定比例的工程预付款，用于施工准备，金额一般为签约合同价的10～30%。其中施工现场安全文明措施费预付款金额：合同工期在一年以内的，不得低于该费用总额的50%；合同工期在一年以上的(含一年)，不得低于该费用总额的30%。</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⑵发包人要求承包人提供预付款担保的，承包人应在发包人支付预付款7天前提供预付款担保，</w:t>
      </w:r>
      <w:r>
        <w:rPr>
          <w:rFonts w:hint="eastAsia" w:ascii="宋体" w:hAnsi="宋体" w:eastAsia="宋体" w:cs="宋体"/>
          <w:b/>
          <w:i/>
          <w:kern w:val="0"/>
        </w:rPr>
        <w:t>专用条款</w:t>
      </w:r>
      <w:r>
        <w:rPr>
          <w:rFonts w:hint="eastAsia" w:ascii="宋体" w:hAnsi="宋体" w:eastAsia="宋体" w:cs="宋体"/>
          <w:kern w:val="0"/>
        </w:rPr>
        <w:t>另有约定除外。预付款担保可采用银行保函、担保公司担保等形式，具体由承发包双方在</w:t>
      </w:r>
      <w:r>
        <w:rPr>
          <w:rFonts w:hint="eastAsia" w:ascii="宋体" w:hAnsi="宋体" w:eastAsia="宋体" w:cs="宋体"/>
          <w:b/>
          <w:i/>
          <w:kern w:val="0"/>
        </w:rPr>
        <w:t>专用条款</w:t>
      </w:r>
      <w:r>
        <w:rPr>
          <w:rFonts w:hint="eastAsia" w:ascii="宋体" w:hAnsi="宋体" w:eastAsia="宋体" w:cs="宋体"/>
          <w:kern w:val="0"/>
        </w:rPr>
        <w:t>中约定。</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⑶发包人应按</w:t>
      </w:r>
      <w:r>
        <w:rPr>
          <w:rFonts w:hint="eastAsia" w:ascii="宋体" w:hAnsi="宋体" w:eastAsia="宋体" w:cs="宋体"/>
          <w:b/>
          <w:i/>
          <w:kern w:val="0"/>
        </w:rPr>
        <w:t>专用条款</w:t>
      </w:r>
      <w:r>
        <w:rPr>
          <w:rFonts w:hint="eastAsia" w:ascii="宋体" w:hAnsi="宋体" w:eastAsia="宋体" w:cs="宋体"/>
          <w:kern w:val="0"/>
        </w:rPr>
        <w:t>约定的时间向承包人支付工程预付款，预付的时间应不迟于约定的开工日期前7天。但发包人支付预付款之前，还应具备</w:t>
      </w:r>
      <w:r>
        <w:rPr>
          <w:rFonts w:hint="eastAsia" w:ascii="宋体" w:hAnsi="宋体" w:eastAsia="宋体" w:cs="宋体"/>
          <w:b/>
          <w:i/>
          <w:kern w:val="0"/>
        </w:rPr>
        <w:t>专用条款</w:t>
      </w:r>
      <w:r>
        <w:rPr>
          <w:rFonts w:hint="eastAsia" w:ascii="宋体" w:hAnsi="宋体" w:eastAsia="宋体" w:cs="宋体"/>
          <w:kern w:val="0"/>
        </w:rPr>
        <w:t>约定的条件。发包人不按约定预付的，承包人应在约定预付时间到期后7天内向发包人发出要求预付的通知，发包人收到通知后仍不能按要求预付，承包人可在发出通知14天后停止施工，发包人应从约定应付之日起向承包人支付应付款的贷款利息，并承担违约责任。</w:t>
      </w:r>
      <w:bookmarkEnd w:id="863"/>
    </w:p>
    <w:p>
      <w:pPr>
        <w:tabs>
          <w:tab w:val="left" w:pos="1620"/>
          <w:tab w:val="left" w:pos="2340"/>
        </w:tabs>
        <w:spacing w:after="156"/>
        <w:ind w:left="899"/>
        <w:jc w:val="left"/>
        <w:rPr>
          <w:rFonts w:hint="eastAsia" w:ascii="宋体" w:hAnsi="宋体" w:eastAsia="宋体" w:cs="宋体"/>
          <w:kern w:val="0"/>
        </w:rPr>
      </w:pPr>
      <w:bookmarkStart w:id="864" w:name="_Toc34909095"/>
      <w:r>
        <w:rPr>
          <w:rFonts w:hint="eastAsia" w:ascii="宋体" w:hAnsi="宋体" w:eastAsia="宋体" w:cs="宋体"/>
          <w:kern w:val="0"/>
        </w:rPr>
        <w:t>⑷发包人和承包人应在</w:t>
      </w:r>
      <w:r>
        <w:rPr>
          <w:rFonts w:hint="eastAsia" w:ascii="宋体" w:hAnsi="宋体" w:eastAsia="宋体" w:cs="宋体"/>
          <w:b/>
          <w:i/>
          <w:kern w:val="0"/>
        </w:rPr>
        <w:t>专用条款</w:t>
      </w:r>
      <w:r>
        <w:rPr>
          <w:rFonts w:hint="eastAsia" w:ascii="宋体" w:hAnsi="宋体" w:eastAsia="宋体" w:cs="宋体"/>
          <w:kern w:val="0"/>
        </w:rPr>
        <w:t>约定工程预付款扣回的起扣点和扣回比例。在未达到起扣点之前，预付款不予扣回；达到起扣点之后，预付款按约定比例根据工程进度分期从期中支付款中扣回。</w:t>
      </w:r>
      <w:bookmarkEnd w:id="864"/>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865" w:name="_Toc302635854"/>
      <w:bookmarkStart w:id="866" w:name="_Toc67418632"/>
      <w:bookmarkStart w:id="867" w:name="_Toc305331361"/>
      <w:bookmarkStart w:id="868" w:name="_Toc940"/>
      <w:bookmarkStart w:id="869" w:name="_Toc34909096"/>
      <w:r>
        <w:rPr>
          <w:rFonts w:hint="eastAsia" w:ascii="宋体" w:hAnsi="宋体" w:cs="宋体"/>
          <w:sz w:val="24"/>
          <w:szCs w:val="24"/>
          <w:lang w:val="en-US" w:eastAsia="zh-CN"/>
        </w:rPr>
        <w:t xml:space="preserve">23.2 </w:t>
      </w:r>
      <w:r>
        <w:rPr>
          <w:rFonts w:hint="eastAsia" w:ascii="宋体" w:hAnsi="宋体" w:eastAsia="宋体" w:cs="宋体"/>
          <w:sz w:val="24"/>
          <w:szCs w:val="24"/>
        </w:rPr>
        <w:t>期中结算</w:t>
      </w:r>
      <w:bookmarkEnd w:id="865"/>
      <w:bookmarkEnd w:id="866"/>
      <w:bookmarkEnd w:id="867"/>
      <w:bookmarkEnd w:id="868"/>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⑴除</w:t>
      </w:r>
      <w:r>
        <w:rPr>
          <w:rFonts w:hint="eastAsia" w:ascii="宋体" w:hAnsi="宋体" w:eastAsia="宋体" w:cs="宋体"/>
          <w:b/>
          <w:i/>
          <w:kern w:val="0"/>
        </w:rPr>
        <w:t>专用条款</w:t>
      </w:r>
      <w:r>
        <w:rPr>
          <w:rFonts w:hint="eastAsia" w:ascii="宋体" w:hAnsi="宋体" w:eastAsia="宋体" w:cs="宋体"/>
          <w:kern w:val="0"/>
        </w:rPr>
        <w:t>另有约定外，发包人和承包人应按月办理期中结算。其中，工人工资支付周期不得超过1个月，具体按23.5款约定执行。</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⑵承包人应根据本期内工程实际完成情况，按照22条有关工程量计量的约定，计算本期完成工程量，结合合同价格构成中的工程量清单项目单价，编制期中结算。</w:t>
      </w:r>
    </w:p>
    <w:bookmarkEnd w:id="869"/>
    <w:p>
      <w:pPr>
        <w:pStyle w:val="3"/>
        <w:tabs>
          <w:tab w:val="left" w:pos="540"/>
          <w:tab w:val="left" w:pos="900"/>
        </w:tabs>
        <w:spacing w:before="120" w:after="156"/>
        <w:ind w:left="359" w:firstLine="0"/>
        <w:jc w:val="left"/>
        <w:rPr>
          <w:rFonts w:hint="eastAsia" w:ascii="宋体" w:hAnsi="宋体" w:eastAsia="宋体" w:cs="宋体"/>
          <w:sz w:val="24"/>
          <w:szCs w:val="24"/>
        </w:rPr>
      </w:pPr>
      <w:bookmarkStart w:id="870" w:name="_Toc302635855"/>
      <w:bookmarkStart w:id="871" w:name="_Toc305331363"/>
      <w:bookmarkStart w:id="872" w:name="_Toc13404"/>
      <w:bookmarkStart w:id="873" w:name="_Toc67418633"/>
      <w:bookmarkStart w:id="874" w:name="_Toc34909097"/>
      <w:r>
        <w:rPr>
          <w:rFonts w:hint="eastAsia" w:ascii="宋体" w:hAnsi="宋体" w:cs="宋体"/>
          <w:sz w:val="24"/>
          <w:szCs w:val="24"/>
          <w:lang w:val="en-US" w:eastAsia="zh-CN"/>
        </w:rPr>
        <w:t xml:space="preserve">23.3 </w:t>
      </w:r>
      <w:r>
        <w:rPr>
          <w:rFonts w:hint="eastAsia" w:ascii="宋体" w:hAnsi="宋体" w:eastAsia="宋体" w:cs="宋体"/>
          <w:sz w:val="24"/>
          <w:szCs w:val="24"/>
        </w:rPr>
        <w:t>期中结算书的提交</w:t>
      </w:r>
      <w:bookmarkEnd w:id="870"/>
      <w:bookmarkEnd w:id="871"/>
      <w:bookmarkEnd w:id="872"/>
      <w:bookmarkEnd w:id="873"/>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承包人应按时向监理人提交由其项目经理签署的期中结算书，期中结算书应包括以下内容：</w:t>
      </w:r>
      <w:bookmarkEnd w:id="874"/>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⑴本期已完成工程的价款；</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⑵自开工截止本期末累计已完成(已实际结算)工程价款；</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⑶自开工截止上期末累计已支付的工程价款；</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⑷本期已完成的(按20.2款经确认的)调整价款；</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⑸本期已完成的(按21.1、2款经确定的)材料设备、专业工程暂估价价款；</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⑹本期应抵扣的(按23.1款)工程预付款；</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⑺本期应扣减的(按31.4款)质量保证金；</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⑻对已签发的进度款支付证书中出现错误的修正，应在本次进度付款中支付或扣除的金额；</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⑼本期根据合同应增加和扣减的其他金额；</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⑽本期应支付的工程价款。</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875" w:name="_Toc305331364"/>
      <w:bookmarkStart w:id="876" w:name="_Toc302635856"/>
      <w:bookmarkStart w:id="877" w:name="_Toc67418634"/>
      <w:bookmarkStart w:id="878" w:name="_Toc14595"/>
      <w:bookmarkStart w:id="879" w:name="_Toc34909098"/>
      <w:r>
        <w:rPr>
          <w:rFonts w:hint="eastAsia" w:ascii="宋体" w:hAnsi="宋体" w:cs="宋体"/>
          <w:sz w:val="24"/>
          <w:szCs w:val="24"/>
          <w:lang w:val="en-US" w:eastAsia="zh-CN"/>
        </w:rPr>
        <w:t xml:space="preserve">23.4 </w:t>
      </w:r>
      <w:r>
        <w:rPr>
          <w:rFonts w:hint="eastAsia" w:ascii="宋体" w:hAnsi="宋体" w:eastAsia="宋体" w:cs="宋体"/>
          <w:sz w:val="24"/>
          <w:szCs w:val="24"/>
        </w:rPr>
        <w:t>期中支付</w:t>
      </w:r>
      <w:bookmarkEnd w:id="875"/>
      <w:bookmarkEnd w:id="876"/>
      <w:bookmarkEnd w:id="877"/>
      <w:bookmarkEnd w:id="878"/>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⑴监理人应在收到期中结算书后14天内签发期中支付证书，签发时应写明到期应结算的价款及需要扣留和扣回的价款并报发包人批准。如该期应结算的价款经扣留和扣回后的价款少于</w:t>
      </w:r>
      <w:r>
        <w:rPr>
          <w:rFonts w:hint="eastAsia" w:ascii="宋体" w:hAnsi="宋体" w:eastAsia="宋体" w:cs="宋体"/>
          <w:b/>
          <w:i/>
          <w:kern w:val="0"/>
        </w:rPr>
        <w:t>专用条款</w:t>
      </w:r>
      <w:r>
        <w:rPr>
          <w:rFonts w:hint="eastAsia" w:ascii="宋体" w:hAnsi="宋体" w:eastAsia="宋体" w:cs="宋体"/>
          <w:kern w:val="0"/>
        </w:rPr>
        <w:t>约定的期中支付的最低金额，则监理人可不签发支付证书，该期工程价款将按期结转，直到累计应支付的价款达到</w:t>
      </w:r>
      <w:r>
        <w:rPr>
          <w:rFonts w:hint="eastAsia" w:ascii="宋体" w:hAnsi="宋体" w:eastAsia="宋体" w:cs="宋体"/>
          <w:b/>
          <w:i/>
          <w:kern w:val="0"/>
        </w:rPr>
        <w:t>专用条款</w:t>
      </w:r>
      <w:r>
        <w:rPr>
          <w:rFonts w:hint="eastAsia" w:ascii="宋体" w:hAnsi="宋体" w:eastAsia="宋体" w:cs="宋体"/>
          <w:kern w:val="0"/>
        </w:rPr>
        <w:t>约定的期中支付的最低金额为止。累计期中支付价款达到合同价格总额的90%时暂停支付。</w:t>
      </w:r>
      <w:bookmarkEnd w:id="879"/>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⑵若承包人未按照23.2⑴款约定的时间提交期中结算书，监理人可自行按照工程实际进度情况编制期中结算书，报发包人批准后签发期中支付证书，承包人对此应予以认可。</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发包人和监理人对承包人的期中结算书有异议的，有权要求承包人修正和提供补充资料，承包人应提交修正后的期中结算书。监理人应在收到承包人修正后的期中结算书及相关资料后7天内完成审查并报送发包人，发包人应在收到监理人报送的期中结算书及相关资料后7天内，向承包人签发无异议部分的支付证书。存在争议的部分，按照第30条〔争议解决〕的约定处理。</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⑷发包人应在期中支付证书签发之日起7天内将期中支付证书上列明的应付工程进度款支付给承包人。发包人超过约定的时间不支付，承包人可向发包人发出要求付款的通知。发包人收到通知后7天内仍不能付款，可与承包人协商签订延期付款协议，经承包人同意后可延期支付，发包人应从约定应付之日起按同期银行贷款利率向承包人支付拖欠工程进度款的贷款利息。</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⑸发包人不按约定时间足额支付工程进度款，双方又未达成延期付款协议，导致施工无法进行，承包人可停止施工，发包人应从约定应付之日起按同期银行贷款利率向承包人支付拖欠工程进度款的贷款利息以外，还应按第28.1款［发包人违约］承担违约责任。</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⑹在对已签发的期中支付证书进行阶段汇总和复核中发现错误、遗漏或重复的，发包人和承包人均有权提出修正申请。经发包人和承包人同意的修正，应在下期进度付款中支付或扣除。</w:t>
      </w:r>
    </w:p>
    <w:p>
      <w:pPr>
        <w:tabs>
          <w:tab w:val="left" w:pos="1620"/>
          <w:tab w:val="left" w:pos="2340"/>
        </w:tabs>
        <w:spacing w:after="156"/>
        <w:ind w:left="899"/>
        <w:jc w:val="left"/>
        <w:rPr>
          <w:rFonts w:hint="eastAsia" w:ascii="宋体" w:hAnsi="宋体" w:eastAsia="宋体" w:cs="宋体"/>
          <w:kern w:val="0"/>
        </w:rPr>
      </w:pPr>
      <w:bookmarkStart w:id="880" w:name="_Toc34909102"/>
      <w:r>
        <w:rPr>
          <w:rFonts w:hint="eastAsia" w:ascii="宋体" w:hAnsi="宋体" w:eastAsia="宋体" w:cs="宋体"/>
          <w:kern w:val="0"/>
        </w:rPr>
        <w:t>⑺上述有关工程款支付的文件的编制和审核均须经注册造价工程师签字盖章确认。</w:t>
      </w:r>
      <w:bookmarkEnd w:id="880"/>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881" w:name="_Toc67418635"/>
      <w:bookmarkStart w:id="882" w:name="_Toc15449"/>
      <w:r>
        <w:rPr>
          <w:rFonts w:hint="eastAsia" w:ascii="宋体" w:hAnsi="宋体" w:cs="宋体"/>
          <w:sz w:val="24"/>
          <w:szCs w:val="24"/>
          <w:lang w:val="en-US" w:eastAsia="zh-CN"/>
        </w:rPr>
        <w:t xml:space="preserve">23.5 </w:t>
      </w:r>
      <w:r>
        <w:rPr>
          <w:rFonts w:hint="eastAsia" w:ascii="宋体" w:hAnsi="宋体" w:eastAsia="宋体" w:cs="宋体"/>
          <w:sz w:val="24"/>
          <w:szCs w:val="24"/>
        </w:rPr>
        <w:t>工人工资支付</w:t>
      </w:r>
      <w:bookmarkEnd w:id="881"/>
      <w:bookmarkEnd w:id="882"/>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发包人和承包人应按照《保障农民工工资支付条例》、《国务院关于解决农民工若干问题的意见》、《建设领域农民工工资支付管理暂行办法》和深圳市建设行政主管部门的相关规定，实施用工实名制和分账制管理，在</w:t>
      </w:r>
      <w:r>
        <w:rPr>
          <w:rFonts w:hint="eastAsia" w:ascii="宋体" w:hAnsi="宋体" w:eastAsia="宋体" w:cs="宋体"/>
          <w:b/>
          <w:i/>
          <w:kern w:val="0"/>
        </w:rPr>
        <w:t>专用条款</w:t>
      </w:r>
      <w:r>
        <w:rPr>
          <w:rFonts w:hint="eastAsia" w:ascii="宋体" w:hAnsi="宋体" w:eastAsia="宋体" w:cs="宋体"/>
          <w:kern w:val="0"/>
        </w:rPr>
        <w:t>中约定工人工资支付方式，保障工人工资及时支付和足额发放。</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883" w:name="_Toc15909"/>
      <w:bookmarkStart w:id="884" w:name="_Toc305331365"/>
      <w:bookmarkStart w:id="885" w:name="_Toc302635857"/>
      <w:bookmarkStart w:id="886" w:name="_Toc67418636"/>
      <w:r>
        <w:rPr>
          <w:rFonts w:hint="eastAsia" w:ascii="宋体" w:hAnsi="宋体" w:cs="宋体"/>
          <w:sz w:val="24"/>
          <w:szCs w:val="24"/>
          <w:lang w:val="en-US" w:eastAsia="zh-CN"/>
        </w:rPr>
        <w:t xml:space="preserve">23.6 </w:t>
      </w:r>
      <w:r>
        <w:rPr>
          <w:rFonts w:hint="eastAsia" w:ascii="宋体" w:hAnsi="宋体" w:eastAsia="宋体" w:cs="宋体"/>
          <w:sz w:val="24"/>
          <w:szCs w:val="24"/>
        </w:rPr>
        <w:t>工程款专款专用</w:t>
      </w:r>
      <w:bookmarkEnd w:id="883"/>
      <w:bookmarkEnd w:id="884"/>
      <w:bookmarkEnd w:id="885"/>
      <w:bookmarkEnd w:id="886"/>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本工程发包人支付给承包人的工程款都应当专款专用，承包人不得擅自改变任何款项的使用性质。发包人有权检查承包人工程款的使用情况(包括但不限于工程预付款、材料款、分包工程款、劳务分包价款（工人工资）、安全文明措施费等款项)，发包人还可以采取</w:t>
      </w:r>
      <w:r>
        <w:rPr>
          <w:rFonts w:hint="eastAsia" w:ascii="宋体" w:hAnsi="宋体" w:eastAsia="宋体" w:cs="宋体"/>
          <w:b/>
          <w:i/>
          <w:kern w:val="0"/>
        </w:rPr>
        <w:t>专用条款</w:t>
      </w:r>
      <w:r>
        <w:rPr>
          <w:rFonts w:hint="eastAsia" w:ascii="宋体" w:hAnsi="宋体" w:eastAsia="宋体" w:cs="宋体"/>
          <w:kern w:val="0"/>
        </w:rPr>
        <w:t>约定的措施对承包人的工程款使用情况进行监管。</w:t>
      </w:r>
    </w:p>
    <w:p>
      <w:pPr>
        <w:pStyle w:val="2"/>
        <w:keepNext w:val="0"/>
        <w:keepLines w:val="0"/>
        <w:widowControl w:val="0"/>
        <w:tabs>
          <w:tab w:val="left" w:pos="720"/>
          <w:tab w:val="left" w:pos="1620"/>
          <w:tab w:val="left" w:pos="2340"/>
        </w:tabs>
        <w:spacing w:before="240" w:after="120"/>
        <w:ind w:left="178" w:firstLine="0"/>
        <w:rPr>
          <w:rFonts w:hint="eastAsia" w:ascii="宋体" w:hAnsi="宋体" w:eastAsia="宋体" w:cs="宋体"/>
        </w:rPr>
      </w:pPr>
      <w:bookmarkStart w:id="887" w:name="_Toc5710"/>
      <w:bookmarkStart w:id="888" w:name="_Toc35656995"/>
      <w:bookmarkStart w:id="889" w:name="_Toc35656493"/>
      <w:bookmarkStart w:id="890" w:name="_Toc34909104"/>
      <w:bookmarkStart w:id="891" w:name="_Toc305331366"/>
      <w:bookmarkStart w:id="892" w:name="_Toc302635858"/>
      <w:bookmarkStart w:id="893" w:name="_Toc67418637"/>
      <w:r>
        <w:rPr>
          <w:rFonts w:hint="eastAsia" w:ascii="宋体" w:cs="宋体"/>
          <w:lang w:val="en-US" w:eastAsia="zh-CN"/>
        </w:rPr>
        <w:t xml:space="preserve">24 </w:t>
      </w:r>
      <w:r>
        <w:rPr>
          <w:rFonts w:hint="eastAsia" w:ascii="宋体" w:hAnsi="宋体" w:eastAsia="宋体" w:cs="宋体"/>
        </w:rPr>
        <w:t>工程变更</w:t>
      </w:r>
      <w:bookmarkEnd w:id="887"/>
      <w:bookmarkEnd w:id="888"/>
      <w:bookmarkEnd w:id="889"/>
      <w:bookmarkEnd w:id="890"/>
      <w:bookmarkEnd w:id="891"/>
      <w:bookmarkEnd w:id="892"/>
      <w:bookmarkEnd w:id="893"/>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894" w:name="_Toc12889"/>
      <w:bookmarkStart w:id="895" w:name="_Toc302635859"/>
      <w:bookmarkStart w:id="896" w:name="_Toc305331367"/>
      <w:bookmarkStart w:id="897" w:name="_Toc67418638"/>
      <w:bookmarkStart w:id="898" w:name="_Toc34909105"/>
      <w:r>
        <w:rPr>
          <w:rFonts w:hint="eastAsia" w:ascii="宋体" w:hAnsi="宋体" w:cs="宋体"/>
          <w:sz w:val="24"/>
          <w:szCs w:val="24"/>
          <w:lang w:val="en-US" w:eastAsia="zh-CN"/>
        </w:rPr>
        <w:t xml:space="preserve">24.1 </w:t>
      </w:r>
      <w:r>
        <w:rPr>
          <w:rFonts w:hint="eastAsia" w:ascii="宋体" w:hAnsi="宋体" w:eastAsia="宋体" w:cs="宋体"/>
          <w:sz w:val="24"/>
          <w:szCs w:val="24"/>
        </w:rPr>
        <w:t>工程变更的范围</w:t>
      </w:r>
      <w:bookmarkEnd w:id="894"/>
      <w:bookmarkEnd w:id="895"/>
      <w:bookmarkEnd w:id="896"/>
      <w:bookmarkEnd w:id="897"/>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在施工过程中，出现以下情况，视为工程变更：</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⑴本工程图纸包括的任何工作内容的数量、质量或其他特征的改变；</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⑵本工程技术规范内容或要求的改变；</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⑶本工程任何部分的标高、线形、位置和尺寸的改变；</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⑷本工程任何部分施工的约定顺序或时间安排的改变；</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⑸为进行工程变更需要的任何附加工作、材料或设备。</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899" w:name="_Toc67418639"/>
      <w:bookmarkStart w:id="900" w:name="_Toc30994"/>
      <w:bookmarkStart w:id="901" w:name="_Toc305331368"/>
      <w:bookmarkStart w:id="902" w:name="_Toc302635860"/>
      <w:r>
        <w:rPr>
          <w:rFonts w:hint="eastAsia" w:ascii="宋体" w:hAnsi="宋体" w:cs="宋体"/>
          <w:sz w:val="24"/>
          <w:szCs w:val="24"/>
          <w:lang w:val="en-US" w:eastAsia="zh-CN"/>
        </w:rPr>
        <w:t xml:space="preserve">24.2 </w:t>
      </w:r>
      <w:r>
        <w:rPr>
          <w:rFonts w:hint="eastAsia" w:ascii="宋体" w:hAnsi="宋体" w:eastAsia="宋体" w:cs="宋体"/>
          <w:sz w:val="24"/>
          <w:szCs w:val="24"/>
        </w:rPr>
        <w:t>变更权</w:t>
      </w:r>
      <w:bookmarkEnd w:id="899"/>
      <w:bookmarkEnd w:id="900"/>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⑴发包人和监理人均可提出变更。变更指令均通过监理人发出，监理人发出变更指令前应征得发包人同意。承包人收到经发包人签认的变更指令后，方可实施变更。未经许可，承包人不得擅自对工程的任何部分进行变更。</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⑵涉及设计变更的，应由设计人提供变更后的图纸和说明。</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903" w:name="_Toc67418640"/>
      <w:bookmarkStart w:id="904" w:name="_Toc31499"/>
      <w:r>
        <w:rPr>
          <w:rFonts w:hint="eastAsia" w:ascii="宋体" w:hAnsi="宋体" w:cs="宋体"/>
          <w:sz w:val="24"/>
          <w:szCs w:val="24"/>
          <w:lang w:val="en-US" w:eastAsia="zh-CN"/>
        </w:rPr>
        <w:t xml:space="preserve">24.3 </w:t>
      </w:r>
      <w:r>
        <w:rPr>
          <w:rFonts w:hint="eastAsia" w:ascii="宋体" w:hAnsi="宋体" w:eastAsia="宋体" w:cs="宋体"/>
          <w:sz w:val="24"/>
          <w:szCs w:val="24"/>
        </w:rPr>
        <w:t>工程变更程序</w:t>
      </w:r>
      <w:bookmarkEnd w:id="901"/>
      <w:bookmarkEnd w:id="902"/>
      <w:bookmarkEnd w:id="903"/>
      <w:bookmarkEnd w:id="904"/>
    </w:p>
    <w:bookmarkEnd w:id="898"/>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工程变更应按以下程序及</w:t>
      </w:r>
      <w:r>
        <w:rPr>
          <w:rFonts w:hint="eastAsia" w:ascii="宋体" w:hAnsi="宋体" w:eastAsia="宋体" w:cs="宋体"/>
          <w:b/>
          <w:i/>
          <w:kern w:val="0"/>
        </w:rPr>
        <w:t>专用条款</w:t>
      </w:r>
      <w:r>
        <w:rPr>
          <w:rFonts w:hint="eastAsia" w:ascii="宋体" w:hAnsi="宋体" w:eastAsia="宋体" w:cs="宋体"/>
          <w:kern w:val="0"/>
        </w:rPr>
        <w:t>的约定办理，并由监理人提前14天向承包人发出变更指令。</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⑴发包人提出变更建议，经监理人审核，涉及施工图调整时应经设计人同意并提交相应变更设计；</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⑵设计人提出变更建议，涉及施工图调整时应提交相应变更设计，经监理人审核并报发包人同意；</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⑶监理人提出变更建议，涉及施工图调整时应经设计人同意并提交相应变更设计，报发包人同意；</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⑷承包人提出变更建议，涉及施工图调整时应经设计人同意并提交相应变更设计，经监理人审核并报发包人同意；</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⑸以上变更建议涉及到结构、外墙等影响本工程及公众安全的，必须经设计人同意并提交相应变更设计；</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⑹以上变更超过原设计标准或批准的建设规模需要有关部门审批时，发包人应在</w:t>
      </w:r>
      <w:r>
        <w:rPr>
          <w:rFonts w:hint="eastAsia" w:ascii="宋体" w:hAnsi="宋体" w:eastAsia="宋体" w:cs="宋体"/>
          <w:b/>
          <w:i/>
          <w:kern w:val="0"/>
        </w:rPr>
        <w:t>专用条款</w:t>
      </w:r>
      <w:r>
        <w:rPr>
          <w:rFonts w:hint="eastAsia" w:ascii="宋体" w:hAnsi="宋体" w:eastAsia="宋体" w:cs="宋体"/>
          <w:kern w:val="0"/>
        </w:rPr>
        <w:t>约定期限内报规划管理部门和其他有关部门重新审查批准，并提供由设计人出具的相应变更设计。</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905" w:name="_Toc67418641"/>
      <w:bookmarkStart w:id="906" w:name="_Toc305331369"/>
      <w:bookmarkStart w:id="907" w:name="_Toc16040"/>
      <w:bookmarkStart w:id="908" w:name="_Toc302635862"/>
      <w:bookmarkStart w:id="909" w:name="_Toc34909108"/>
      <w:r>
        <w:rPr>
          <w:rFonts w:hint="eastAsia" w:ascii="宋体" w:hAnsi="宋体" w:cs="宋体"/>
          <w:sz w:val="24"/>
          <w:szCs w:val="24"/>
          <w:lang w:val="en-US" w:eastAsia="zh-CN"/>
        </w:rPr>
        <w:t xml:space="preserve">24.4 </w:t>
      </w:r>
      <w:r>
        <w:rPr>
          <w:rFonts w:hint="eastAsia" w:ascii="宋体" w:hAnsi="宋体" w:eastAsia="宋体" w:cs="宋体"/>
          <w:sz w:val="24"/>
          <w:szCs w:val="24"/>
        </w:rPr>
        <w:t>其他变更</w:t>
      </w:r>
      <w:bookmarkEnd w:id="905"/>
      <w:bookmarkEnd w:id="906"/>
      <w:bookmarkEnd w:id="907"/>
      <w:bookmarkEnd w:id="908"/>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⑴如发出本工程变更指令是因为承包人过错、承包人违反本合同等造成的，则由此引起的任何额外费用由承包人承担。</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如承包人为了便于组织施工，或为了施工安全、避免干扰等原因需采取相应的技术措施而提出的局部变更设计，除须得到监理人的批准外，由此而增加的费用由承包人自行负担。因承包人擅自变更设计发生的费用和由此导致发包人的直接损失，由承包人承担，延误的工期不予顺延。</w:t>
      </w:r>
    </w:p>
    <w:bookmarkEnd w:id="909"/>
    <w:p>
      <w:pPr>
        <w:pStyle w:val="3"/>
        <w:tabs>
          <w:tab w:val="left" w:pos="540"/>
          <w:tab w:val="left" w:pos="900"/>
        </w:tabs>
        <w:spacing w:before="120" w:after="156"/>
        <w:ind w:left="359" w:firstLine="0"/>
        <w:jc w:val="left"/>
        <w:rPr>
          <w:rFonts w:hint="eastAsia" w:ascii="宋体" w:hAnsi="宋体" w:eastAsia="宋体" w:cs="宋体"/>
          <w:sz w:val="24"/>
          <w:szCs w:val="24"/>
        </w:rPr>
      </w:pPr>
      <w:bookmarkStart w:id="910" w:name="_Toc302635863"/>
      <w:bookmarkStart w:id="911" w:name="_Toc29541"/>
      <w:bookmarkStart w:id="912" w:name="_Toc67418642"/>
      <w:bookmarkStart w:id="913" w:name="_Toc305331370"/>
      <w:bookmarkStart w:id="914" w:name="_Toc34909084"/>
      <w:bookmarkStart w:id="915" w:name="_Toc34909109"/>
      <w:r>
        <w:rPr>
          <w:rFonts w:hint="eastAsia" w:ascii="宋体" w:hAnsi="宋体" w:cs="宋体"/>
          <w:sz w:val="24"/>
          <w:szCs w:val="24"/>
          <w:lang w:val="en-US" w:eastAsia="zh-CN"/>
        </w:rPr>
        <w:t xml:space="preserve">24.5 </w:t>
      </w:r>
      <w:r>
        <w:rPr>
          <w:rFonts w:hint="eastAsia" w:ascii="宋体" w:hAnsi="宋体" w:eastAsia="宋体" w:cs="宋体"/>
          <w:sz w:val="24"/>
          <w:szCs w:val="24"/>
        </w:rPr>
        <w:t>计日工现场签证</w:t>
      </w:r>
      <w:bookmarkEnd w:id="910"/>
      <w:bookmarkEnd w:id="911"/>
      <w:bookmarkEnd w:id="912"/>
      <w:bookmarkEnd w:id="913"/>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在本工程施工过程中，承包人完成发包人或监理人提出的施工图以外的零星项目或工作，其价款按列入已标价工程量清单或预算书中的计日工计价项目及其单价进行计算；已标价工程量清单或预算书中无相应的计日工单价的，按照合理的成本与利润构成的原则，由承发包双方协商确定变更工作的单价，协商不成的，按第30条［争议解决］的约定处理。</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发包人或监理人如认为必要时，可以指令承包人按计日工完成工作。对所有按计日工方式施工的工程，承包人应在该工程持续进行过程中，每天向监理人提交以下报表及有关凭证一式两份，经监理人确认签字后，退还其中一份给承包人。</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①工作名称、内容和数量；</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②投入该工作的所有人员的姓名、专业、工种、级别和耗用工时；</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③投入该工作的材料类别和数量；</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④投入该工作的施工设备型号和耗用台班；</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⑤其他有关资料和凭证。</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⑶在期中结算的同时，承包人应按照监理人确认的本期累计所用劳务、材料和承包人装备的数量，向监理人申报本期所用计日工费用，经监理人审核并报发包人确认后，与期中支付同期支付。</w:t>
      </w:r>
    </w:p>
    <w:bookmarkEnd w:id="914"/>
    <w:p>
      <w:pPr>
        <w:pStyle w:val="3"/>
        <w:tabs>
          <w:tab w:val="left" w:pos="540"/>
          <w:tab w:val="left" w:pos="900"/>
        </w:tabs>
        <w:spacing w:before="120" w:after="156"/>
        <w:ind w:left="359" w:firstLine="0"/>
        <w:jc w:val="left"/>
        <w:rPr>
          <w:rFonts w:hint="eastAsia" w:ascii="宋体" w:hAnsi="宋体" w:eastAsia="宋体" w:cs="宋体"/>
          <w:sz w:val="24"/>
          <w:szCs w:val="24"/>
        </w:rPr>
      </w:pPr>
      <w:bookmarkStart w:id="916" w:name="_Toc305331371"/>
      <w:bookmarkStart w:id="917" w:name="_Toc483"/>
      <w:bookmarkStart w:id="918" w:name="_Toc302635864"/>
      <w:bookmarkStart w:id="919" w:name="_Toc67418643"/>
      <w:r>
        <w:rPr>
          <w:rFonts w:hint="eastAsia" w:ascii="宋体" w:hAnsi="宋体" w:cs="宋体"/>
          <w:sz w:val="24"/>
          <w:szCs w:val="24"/>
          <w:lang w:val="en-US" w:eastAsia="zh-CN"/>
        </w:rPr>
        <w:t xml:space="preserve">24.6 </w:t>
      </w:r>
      <w:r>
        <w:rPr>
          <w:rFonts w:hint="eastAsia" w:ascii="宋体" w:hAnsi="宋体" w:eastAsia="宋体" w:cs="宋体"/>
          <w:sz w:val="24"/>
          <w:szCs w:val="24"/>
        </w:rPr>
        <w:t>价值工程</w:t>
      </w:r>
      <w:bookmarkEnd w:id="916"/>
      <w:bookmarkEnd w:id="917"/>
      <w:bookmarkEnd w:id="918"/>
      <w:bookmarkEnd w:id="919"/>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⑴施工过程中承包人可随时提出其认为可满足下列要求的合理化建议：</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①使本工程提前竣工；</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②降低发包人的工程施工、维护或运营的费用；</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③提高本工程的价值；</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④为发包人带来其它利益。</w:t>
      </w:r>
    </w:p>
    <w:p>
      <w:pPr>
        <w:tabs>
          <w:tab w:val="left" w:pos="1620"/>
          <w:tab w:val="left" w:pos="2340"/>
        </w:tabs>
        <w:spacing w:before="156"/>
        <w:ind w:left="899"/>
        <w:jc w:val="left"/>
        <w:rPr>
          <w:rFonts w:hint="eastAsia" w:ascii="宋体" w:hAnsi="宋体" w:eastAsia="宋体" w:cs="宋体"/>
          <w:kern w:val="0"/>
        </w:rPr>
      </w:pPr>
      <w:r>
        <w:rPr>
          <w:rFonts w:hint="eastAsia" w:ascii="宋体" w:hAnsi="宋体" w:eastAsia="宋体" w:cs="宋体"/>
          <w:kern w:val="0"/>
        </w:rPr>
        <w:t>⑵监理人收到此类建议后，应尽快提出针对性的回复，在此期间，承包人应继续按照本合同约定进行相应工作。若该合理化建议涉及到对设计图纸或施工组织设计的更改及对材料、设备的换用，须经监理人审查并报经发包人批准。未经批准擅自更改或换用时，承包人承担由此发生的费用，并赔偿发包人的有关损失，延误的工期不予顺延。</w:t>
      </w:r>
    </w:p>
    <w:p>
      <w:pPr>
        <w:tabs>
          <w:tab w:val="left" w:pos="1620"/>
          <w:tab w:val="left" w:pos="2340"/>
        </w:tabs>
        <w:spacing w:before="156"/>
        <w:ind w:left="899"/>
        <w:jc w:val="left"/>
        <w:rPr>
          <w:rFonts w:hint="eastAsia" w:ascii="宋体" w:hAnsi="宋体" w:eastAsia="宋体" w:cs="宋体"/>
          <w:kern w:val="0"/>
        </w:rPr>
      </w:pPr>
      <w:r>
        <w:rPr>
          <w:rFonts w:hint="eastAsia" w:ascii="宋体" w:hAnsi="宋体" w:eastAsia="宋体" w:cs="宋体"/>
          <w:kern w:val="0"/>
        </w:rPr>
        <w:t>⑶若发包人同意采用承包人合理化建议，所发生的费用和获得的收益，发包人和承包人按</w:t>
      </w:r>
      <w:r>
        <w:rPr>
          <w:rFonts w:hint="eastAsia" w:ascii="宋体" w:hAnsi="宋体" w:eastAsia="宋体" w:cs="宋体"/>
          <w:b/>
          <w:i/>
          <w:kern w:val="0"/>
        </w:rPr>
        <w:t>专用条款</w:t>
      </w:r>
      <w:r>
        <w:rPr>
          <w:rFonts w:hint="eastAsia" w:ascii="宋体" w:hAnsi="宋体" w:eastAsia="宋体" w:cs="宋体"/>
          <w:kern w:val="0"/>
        </w:rPr>
        <w:t>的约定分担或分享。</w:t>
      </w:r>
      <w:bookmarkEnd w:id="915"/>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920" w:name="_Toc67418644"/>
      <w:bookmarkStart w:id="921" w:name="_Toc302635865"/>
      <w:bookmarkStart w:id="922" w:name="_Toc3580"/>
      <w:bookmarkStart w:id="923" w:name="_Toc351203573"/>
      <w:bookmarkStart w:id="924" w:name="_Toc337558793"/>
      <w:r>
        <w:rPr>
          <w:rFonts w:hint="eastAsia" w:ascii="宋体" w:hAnsi="宋体" w:cs="宋体"/>
          <w:sz w:val="24"/>
          <w:szCs w:val="24"/>
          <w:lang w:val="en-US" w:eastAsia="zh-CN"/>
        </w:rPr>
        <w:t xml:space="preserve">24.7 </w:t>
      </w:r>
      <w:r>
        <w:rPr>
          <w:rFonts w:hint="eastAsia" w:ascii="宋体" w:hAnsi="宋体" w:eastAsia="宋体" w:cs="宋体"/>
          <w:sz w:val="24"/>
          <w:szCs w:val="24"/>
        </w:rPr>
        <w:t>变更引起的工期调整</w:t>
      </w:r>
      <w:bookmarkEnd w:id="920"/>
      <w:bookmarkEnd w:id="921"/>
      <w:bookmarkEnd w:id="922"/>
      <w:bookmarkEnd w:id="923"/>
      <w:r>
        <w:rPr>
          <w:rFonts w:hint="eastAsia" w:ascii="宋体" w:hAnsi="宋体" w:eastAsia="宋体" w:cs="宋体"/>
          <w:sz w:val="24"/>
          <w:szCs w:val="24"/>
        </w:rPr>
        <w:t xml:space="preserve"> </w:t>
      </w:r>
      <w:bookmarkEnd w:id="924"/>
      <w:r>
        <w:rPr>
          <w:rFonts w:hint="eastAsia" w:ascii="宋体" w:hAnsi="宋体" w:eastAsia="宋体" w:cs="宋体"/>
          <w:sz w:val="24"/>
          <w:szCs w:val="24"/>
        </w:rPr>
        <w:t xml:space="preserve">  </w:t>
      </w:r>
    </w:p>
    <w:p>
      <w:pPr>
        <w:tabs>
          <w:tab w:val="left" w:pos="1620"/>
          <w:tab w:val="left" w:pos="2340"/>
        </w:tabs>
        <w:spacing w:before="156"/>
        <w:ind w:left="899"/>
        <w:jc w:val="left"/>
        <w:rPr>
          <w:rFonts w:hint="eastAsia" w:ascii="宋体" w:hAnsi="宋体" w:eastAsia="宋体" w:cs="宋体"/>
          <w:kern w:val="0"/>
        </w:rPr>
      </w:pPr>
      <w:r>
        <w:rPr>
          <w:rFonts w:hint="eastAsia" w:ascii="宋体" w:hAnsi="宋体" w:eastAsia="宋体" w:cs="宋体"/>
          <w:kern w:val="0"/>
        </w:rPr>
        <w:t>因变更引起工期变化的，承发包双方均可要求调整合同工期，由承发包双方参考工期定额标准协商确定增减工期天数。</w:t>
      </w:r>
    </w:p>
    <w:p>
      <w:pPr>
        <w:pStyle w:val="2"/>
        <w:keepNext w:val="0"/>
        <w:keepLines w:val="0"/>
        <w:widowControl w:val="0"/>
        <w:tabs>
          <w:tab w:val="left" w:pos="720"/>
          <w:tab w:val="left" w:pos="1620"/>
          <w:tab w:val="left" w:pos="2340"/>
        </w:tabs>
        <w:spacing w:before="240" w:after="120"/>
        <w:ind w:left="178" w:firstLine="0"/>
        <w:rPr>
          <w:rFonts w:hint="eastAsia" w:ascii="宋体" w:hAnsi="宋体" w:eastAsia="宋体" w:cs="宋体"/>
        </w:rPr>
      </w:pPr>
      <w:bookmarkStart w:id="925" w:name="_Toc67418645"/>
      <w:bookmarkStart w:id="926" w:name="_Toc35656996"/>
      <w:bookmarkStart w:id="927" w:name="_Toc18913"/>
      <w:bookmarkStart w:id="928" w:name="_Toc34909110"/>
      <w:bookmarkStart w:id="929" w:name="_Toc302635866"/>
      <w:bookmarkStart w:id="930" w:name="_Toc35656494"/>
      <w:bookmarkStart w:id="931" w:name="_Toc305331372"/>
      <w:r>
        <w:rPr>
          <w:rFonts w:hint="eastAsia" w:ascii="宋体" w:cs="宋体"/>
          <w:lang w:val="en-US" w:eastAsia="zh-CN"/>
        </w:rPr>
        <w:t xml:space="preserve">25 </w:t>
      </w:r>
      <w:r>
        <w:rPr>
          <w:rFonts w:hint="eastAsia" w:ascii="宋体" w:hAnsi="宋体" w:eastAsia="宋体" w:cs="宋体"/>
        </w:rPr>
        <w:t>工程变更价款</w:t>
      </w:r>
      <w:bookmarkEnd w:id="925"/>
      <w:bookmarkEnd w:id="926"/>
      <w:bookmarkEnd w:id="927"/>
      <w:bookmarkEnd w:id="928"/>
      <w:bookmarkEnd w:id="929"/>
      <w:bookmarkEnd w:id="930"/>
      <w:bookmarkEnd w:id="931"/>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932" w:name="_Toc8399"/>
      <w:bookmarkStart w:id="933" w:name="_Toc305331373"/>
      <w:bookmarkStart w:id="934" w:name="_Toc67418646"/>
      <w:bookmarkStart w:id="935" w:name="_Toc302635867"/>
      <w:bookmarkStart w:id="936" w:name="_Toc34909112"/>
      <w:bookmarkStart w:id="937" w:name="_Toc34909111"/>
      <w:r>
        <w:rPr>
          <w:rFonts w:hint="eastAsia" w:ascii="宋体" w:hAnsi="宋体" w:cs="宋体"/>
          <w:sz w:val="24"/>
          <w:szCs w:val="24"/>
          <w:lang w:val="en-US" w:eastAsia="zh-CN"/>
        </w:rPr>
        <w:t xml:space="preserve">25.1 </w:t>
      </w:r>
      <w:r>
        <w:rPr>
          <w:rFonts w:hint="eastAsia" w:ascii="宋体" w:hAnsi="宋体" w:eastAsia="宋体" w:cs="宋体"/>
          <w:sz w:val="24"/>
          <w:szCs w:val="24"/>
        </w:rPr>
        <w:t>工程变更价款的确定方法</w:t>
      </w:r>
      <w:bookmarkEnd w:id="932"/>
      <w:bookmarkEnd w:id="933"/>
      <w:bookmarkEnd w:id="934"/>
      <w:bookmarkEnd w:id="935"/>
    </w:p>
    <w:bookmarkEnd w:id="936"/>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⑴合同价格构成中的工程量清单项目单价中已有适用于变更工程的工程量清单项目单价，按已有的工程量清单项目单价确定变更价款。</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⑵除</w:t>
      </w:r>
      <w:r>
        <w:rPr>
          <w:rFonts w:hint="eastAsia" w:ascii="宋体" w:hAnsi="宋体" w:eastAsia="宋体" w:cs="宋体"/>
          <w:b/>
          <w:i/>
          <w:kern w:val="0"/>
        </w:rPr>
        <w:t>专用条款</w:t>
      </w:r>
      <w:r>
        <w:rPr>
          <w:rFonts w:hint="eastAsia" w:ascii="宋体" w:hAnsi="宋体" w:eastAsia="宋体" w:cs="宋体"/>
          <w:kern w:val="0"/>
        </w:rPr>
        <w:t>另有约定外，合同价格构成中的工程量清单项目单价中只有类似于变更工程的工程量清单项目单价，可以参照类似项目工程量清单项目单价确定变更价款，类似项目是指采用的材料、施工工艺和方法基本相似，不增加关键线路上工程的施工时间的项目。</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⑶合同价格构成中的工程量清单项目单价中没有适用或类似于变更工程的工程量清单项目单价，除</w:t>
      </w:r>
      <w:r>
        <w:rPr>
          <w:rFonts w:hint="eastAsia" w:ascii="宋体" w:hAnsi="宋体" w:eastAsia="宋体" w:cs="宋体"/>
          <w:b/>
          <w:i/>
          <w:kern w:val="0"/>
        </w:rPr>
        <w:t>专用条款</w:t>
      </w:r>
      <w:r>
        <w:rPr>
          <w:rFonts w:hint="eastAsia" w:ascii="宋体" w:hAnsi="宋体" w:eastAsia="宋体" w:cs="宋体"/>
          <w:kern w:val="0"/>
        </w:rPr>
        <w:t>另有约定外，发包人和承包人应按照本工程招标控制价的编制方法，根据工程变更资料计算，并按本工程净下浮率进行下浮调整确定该工程变更价款。</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⑷如工程变更造成工程量清单中某项目的工程量增减超过15%或承发包双方在</w:t>
      </w:r>
      <w:r>
        <w:rPr>
          <w:rFonts w:hint="eastAsia" w:ascii="宋体" w:hAnsi="宋体" w:eastAsia="宋体" w:cs="宋体"/>
          <w:b/>
          <w:i/>
          <w:kern w:val="0"/>
        </w:rPr>
        <w:t>专用条款</w:t>
      </w:r>
      <w:r>
        <w:rPr>
          <w:rFonts w:hint="eastAsia" w:ascii="宋体" w:hAnsi="宋体" w:eastAsia="宋体" w:cs="宋体"/>
          <w:kern w:val="0"/>
        </w:rPr>
        <w:t>中约定的幅度时，其工程量清单项目单价按第25.4款执行。</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938" w:name="_Toc67418647"/>
      <w:bookmarkStart w:id="939" w:name="_Toc15007"/>
      <w:bookmarkStart w:id="940" w:name="_Toc302635868"/>
      <w:bookmarkStart w:id="941" w:name="_Toc305331375"/>
      <w:bookmarkStart w:id="942" w:name="_Toc305331374"/>
      <w:r>
        <w:rPr>
          <w:rFonts w:hint="eastAsia" w:ascii="宋体" w:hAnsi="宋体" w:cs="宋体"/>
          <w:sz w:val="24"/>
          <w:szCs w:val="24"/>
          <w:lang w:val="en-US" w:eastAsia="zh-CN"/>
        </w:rPr>
        <w:t xml:space="preserve">25.2 </w:t>
      </w:r>
      <w:r>
        <w:rPr>
          <w:rFonts w:hint="eastAsia" w:ascii="宋体" w:hAnsi="宋体" w:eastAsia="宋体" w:cs="宋体"/>
          <w:sz w:val="24"/>
          <w:szCs w:val="24"/>
        </w:rPr>
        <w:t>工程变更引起措施项目的调整</w:t>
      </w:r>
      <w:bookmarkEnd w:id="938"/>
      <w:bookmarkEnd w:id="939"/>
      <w:bookmarkEnd w:id="940"/>
      <w:bookmarkEnd w:id="941"/>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⑴当工程变更引起措施项目发生变化，造成施工组织设计或施工方案变更时，承包人有权提出调整措施项目费。</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⑵承包人提出调整措施项目费的，应事先将拟实施的方案提交监理人确认，并详细说明与原方案措施项目的变化情况。拟实施的方案经监理人认可，并报发包人批准后执行。</w:t>
      </w:r>
    </w:p>
    <w:p>
      <w:pPr>
        <w:tabs>
          <w:tab w:val="left" w:pos="1620"/>
          <w:tab w:val="left" w:pos="2340"/>
        </w:tabs>
        <w:ind w:left="899"/>
        <w:jc w:val="left"/>
        <w:rPr>
          <w:rFonts w:hint="eastAsia" w:ascii="宋体" w:hAnsi="宋体" w:eastAsia="宋体" w:cs="宋体"/>
          <w:kern w:val="0"/>
        </w:rPr>
      </w:pPr>
      <w:bookmarkStart w:id="943" w:name="_Toc302635869"/>
      <w:r>
        <w:rPr>
          <w:rFonts w:hint="eastAsia" w:ascii="宋体" w:hAnsi="宋体" w:eastAsia="宋体" w:cs="宋体"/>
          <w:kern w:val="0"/>
        </w:rPr>
        <w:t>⑶除</w:t>
      </w:r>
      <w:r>
        <w:rPr>
          <w:rFonts w:hint="eastAsia" w:ascii="宋体" w:hAnsi="宋体" w:eastAsia="宋体" w:cs="宋体"/>
          <w:b/>
          <w:i/>
          <w:kern w:val="0"/>
        </w:rPr>
        <w:t>专用条款</w:t>
      </w:r>
      <w:r>
        <w:rPr>
          <w:rFonts w:hint="eastAsia" w:ascii="宋体" w:hAnsi="宋体" w:eastAsia="宋体" w:cs="宋体"/>
          <w:kern w:val="0"/>
        </w:rPr>
        <w:t>另有约定外，工程变更引起的措施项目费调整的计算方法为：</w:t>
      </w:r>
    </w:p>
    <w:p>
      <w:pPr>
        <w:tabs>
          <w:tab w:val="left" w:pos="1620"/>
          <w:tab w:val="left" w:pos="2340"/>
        </w:tabs>
        <w:ind w:left="1134"/>
        <w:jc w:val="left"/>
        <w:rPr>
          <w:rFonts w:hint="eastAsia" w:ascii="宋体" w:hAnsi="宋体" w:eastAsia="宋体" w:cs="宋体"/>
          <w:kern w:val="0"/>
        </w:rPr>
      </w:pPr>
      <w:r>
        <w:rPr>
          <w:rFonts w:hint="eastAsia" w:ascii="宋体" w:hAnsi="宋体" w:eastAsia="宋体" w:cs="宋体"/>
          <w:kern w:val="0"/>
        </w:rPr>
        <w:t>①采用单价计算的措施项目费，按照实际发生变化的措施项目，按第25.1款［工程变更价款的确定方法］约定的方法确定单价；</w:t>
      </w:r>
    </w:p>
    <w:p>
      <w:pPr>
        <w:tabs>
          <w:tab w:val="left" w:pos="1620"/>
          <w:tab w:val="left" w:pos="2340"/>
        </w:tabs>
        <w:ind w:left="1134"/>
        <w:jc w:val="left"/>
        <w:rPr>
          <w:rFonts w:hint="eastAsia" w:ascii="宋体" w:hAnsi="宋体" w:eastAsia="宋体" w:cs="宋体"/>
          <w:kern w:val="0"/>
        </w:rPr>
      </w:pPr>
      <w:r>
        <w:rPr>
          <w:rFonts w:hint="eastAsia" w:ascii="宋体" w:hAnsi="宋体" w:eastAsia="宋体" w:cs="宋体"/>
          <w:kern w:val="0"/>
        </w:rPr>
        <w:t>②除安全文明施工措施费外，采用以“项”计量计价的措施项目费，按照实际发生变化的措施项目以原措施费的组价方法调整；</w:t>
      </w:r>
    </w:p>
    <w:p>
      <w:pPr>
        <w:tabs>
          <w:tab w:val="left" w:pos="1620"/>
          <w:tab w:val="left" w:pos="2340"/>
        </w:tabs>
        <w:ind w:left="1134"/>
        <w:jc w:val="left"/>
        <w:rPr>
          <w:rFonts w:hint="eastAsia" w:ascii="宋体" w:hAnsi="宋体" w:eastAsia="宋体" w:cs="宋体"/>
          <w:kern w:val="0"/>
        </w:rPr>
      </w:pPr>
      <w:r>
        <w:rPr>
          <w:rFonts w:hint="eastAsia" w:ascii="宋体" w:hAnsi="宋体" w:eastAsia="宋体" w:cs="宋体"/>
          <w:kern w:val="0"/>
        </w:rPr>
        <w:t>③安全文明施工措施费计算基数发生</w:t>
      </w:r>
      <w:r>
        <w:rPr>
          <w:rFonts w:hint="eastAsia" w:ascii="宋体" w:hAnsi="宋体" w:eastAsia="宋体" w:cs="宋体"/>
          <w:b/>
          <w:i/>
          <w:kern w:val="0"/>
        </w:rPr>
        <w:t>专用条款</w:t>
      </w:r>
      <w:r>
        <w:rPr>
          <w:rFonts w:hint="eastAsia" w:ascii="宋体" w:hAnsi="宋体" w:eastAsia="宋体" w:cs="宋体"/>
          <w:bCs/>
          <w:iCs/>
          <w:kern w:val="0"/>
        </w:rPr>
        <w:t>约定</w:t>
      </w:r>
      <w:r>
        <w:rPr>
          <w:rFonts w:hint="eastAsia" w:ascii="宋体" w:hAnsi="宋体" w:eastAsia="宋体" w:cs="宋体"/>
          <w:kern w:val="0"/>
        </w:rPr>
        <w:t>变化</w:t>
      </w:r>
      <w:r>
        <w:rPr>
          <w:rFonts w:hint="eastAsia" w:ascii="宋体" w:hAnsi="宋体" w:eastAsia="宋体" w:cs="宋体"/>
          <w:bCs/>
          <w:iCs/>
          <w:kern w:val="0"/>
        </w:rPr>
        <w:t>幅度</w:t>
      </w:r>
      <w:r>
        <w:rPr>
          <w:rFonts w:hint="eastAsia" w:ascii="宋体" w:hAnsi="宋体" w:eastAsia="宋体" w:cs="宋体"/>
          <w:kern w:val="0"/>
        </w:rPr>
        <w:t>的，按照</w:t>
      </w:r>
      <w:r>
        <w:rPr>
          <w:rFonts w:hint="eastAsia" w:ascii="宋体" w:hAnsi="宋体" w:eastAsia="宋体" w:cs="宋体"/>
          <w:b/>
          <w:i/>
          <w:kern w:val="0"/>
        </w:rPr>
        <w:t>专用条款</w:t>
      </w:r>
      <w:r>
        <w:rPr>
          <w:rFonts w:hint="eastAsia" w:ascii="宋体" w:hAnsi="宋体" w:eastAsia="宋体" w:cs="宋体"/>
          <w:bCs/>
          <w:iCs/>
          <w:kern w:val="0"/>
        </w:rPr>
        <w:t>约定</w:t>
      </w:r>
      <w:r>
        <w:rPr>
          <w:rFonts w:hint="eastAsia" w:ascii="宋体" w:hAnsi="宋体" w:eastAsia="宋体" w:cs="宋体"/>
          <w:kern w:val="0"/>
        </w:rPr>
        <w:t>的计算方法进行调整。</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944" w:name="_Toc67418648"/>
      <w:bookmarkStart w:id="945" w:name="_Toc5653"/>
      <w:r>
        <w:rPr>
          <w:rFonts w:hint="eastAsia" w:ascii="宋体" w:hAnsi="宋体" w:cs="宋体"/>
          <w:sz w:val="24"/>
          <w:szCs w:val="24"/>
          <w:lang w:val="en-US" w:eastAsia="zh-CN"/>
        </w:rPr>
        <w:t xml:space="preserve">25.3 </w:t>
      </w:r>
      <w:r>
        <w:rPr>
          <w:rFonts w:hint="eastAsia" w:ascii="宋体" w:hAnsi="宋体" w:eastAsia="宋体" w:cs="宋体"/>
          <w:sz w:val="24"/>
          <w:szCs w:val="24"/>
        </w:rPr>
        <w:t>工程变更价款的确定程序</w:t>
      </w:r>
      <w:bookmarkEnd w:id="942"/>
      <w:bookmarkEnd w:id="943"/>
      <w:bookmarkEnd w:id="944"/>
      <w:bookmarkEnd w:id="945"/>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除</w:t>
      </w:r>
      <w:r>
        <w:rPr>
          <w:rFonts w:hint="eastAsia" w:ascii="宋体" w:hAnsi="宋体" w:eastAsia="宋体" w:cs="宋体"/>
          <w:b/>
          <w:i/>
          <w:kern w:val="0"/>
        </w:rPr>
        <w:t>专用条款</w:t>
      </w:r>
      <w:r>
        <w:rPr>
          <w:rFonts w:hint="eastAsia" w:ascii="宋体" w:hAnsi="宋体" w:eastAsia="宋体" w:cs="宋体"/>
          <w:kern w:val="0"/>
        </w:rPr>
        <w:t>另有约定外，发包人和承包人应按以下程序确认工程变更价款：</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⑴承包人应在收到工程变更指令后14天内将变更工程价款和(或)调整工期报告提交给监理人，监理人应及时予以确认，并报发包人批准。监理人收到报告后14天内未确认也未提出异议的，视为该报告已被确认。</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⑵承包人在收到工程变更指令后14天内不向监理人提出报告的，发包人可自行决定是否变更工程价款和(或)顺延工期。发包人应在发出变更指令28天内将不变更工程价款和(或)调整工期的决定书面通知承包人；或将变更工程价款和(或)调整工期报告提交给承包人确认。承包人收到报告14天内未确认也未提出异议的，视为该报告已被确认。</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⑶工程变更指令发出后，发包人与承包人均未在约定时间内提出变更工程价款和(或)顺延工期报告的，视为该项工程变更不涉及合同价格和(或)工期的调整。</w:t>
      </w:r>
    </w:p>
    <w:bookmarkEnd w:id="937"/>
    <w:p>
      <w:pPr>
        <w:pStyle w:val="3"/>
        <w:tabs>
          <w:tab w:val="left" w:pos="540"/>
          <w:tab w:val="left" w:pos="900"/>
        </w:tabs>
        <w:spacing w:before="120" w:after="156"/>
        <w:ind w:left="359" w:firstLine="0"/>
        <w:jc w:val="left"/>
        <w:rPr>
          <w:rFonts w:hint="eastAsia" w:ascii="宋体" w:hAnsi="宋体" w:eastAsia="宋体" w:cs="宋体"/>
          <w:sz w:val="24"/>
          <w:szCs w:val="24"/>
        </w:rPr>
      </w:pPr>
      <w:bookmarkStart w:id="946" w:name="_Toc15094"/>
      <w:bookmarkStart w:id="947" w:name="_Toc302635870"/>
      <w:bookmarkStart w:id="948" w:name="_Toc67418649"/>
      <w:bookmarkStart w:id="949" w:name="_Toc305331376"/>
      <w:r>
        <w:rPr>
          <w:rFonts w:hint="eastAsia" w:ascii="宋体" w:hAnsi="宋体" w:cs="宋体"/>
          <w:sz w:val="24"/>
          <w:szCs w:val="24"/>
          <w:lang w:val="en-US" w:eastAsia="zh-CN"/>
        </w:rPr>
        <w:t xml:space="preserve">25.4 </w:t>
      </w:r>
      <w:r>
        <w:rPr>
          <w:rFonts w:hint="eastAsia" w:ascii="宋体" w:hAnsi="宋体" w:eastAsia="宋体" w:cs="宋体"/>
          <w:sz w:val="24"/>
          <w:szCs w:val="24"/>
        </w:rPr>
        <w:t>工程量变化调整项目单价</w:t>
      </w:r>
      <w:bookmarkEnd w:id="946"/>
      <w:bookmarkEnd w:id="947"/>
      <w:bookmarkEnd w:id="948"/>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由于工程变更或按第22条工程量计量结果造成工程量清单中某项目的工程量增减超过15%或发、承包人在</w:t>
      </w:r>
      <w:r>
        <w:rPr>
          <w:rFonts w:hint="eastAsia" w:ascii="宋体" w:hAnsi="宋体" w:eastAsia="宋体" w:cs="宋体"/>
          <w:b/>
          <w:i/>
          <w:kern w:val="0"/>
        </w:rPr>
        <w:t>专用条款</w:t>
      </w:r>
      <w:r>
        <w:rPr>
          <w:rFonts w:hint="eastAsia" w:ascii="宋体" w:hAnsi="宋体" w:eastAsia="宋体" w:cs="宋体"/>
          <w:kern w:val="0"/>
        </w:rPr>
        <w:t>中约定的幅度时，除</w:t>
      </w:r>
      <w:r>
        <w:rPr>
          <w:rFonts w:hint="eastAsia" w:ascii="宋体" w:hAnsi="宋体" w:eastAsia="宋体" w:cs="宋体"/>
          <w:b/>
          <w:i/>
          <w:kern w:val="0"/>
        </w:rPr>
        <w:t>专用条款</w:t>
      </w:r>
      <w:r>
        <w:rPr>
          <w:rFonts w:hint="eastAsia" w:ascii="宋体" w:hAnsi="宋体" w:eastAsia="宋体" w:cs="宋体"/>
          <w:kern w:val="0"/>
        </w:rPr>
        <w:t>另有约定外，发包人和承包人应按照本工程招标控制价的编制方法，并按本工程中标净下浮率进行下浮调整确定该清单项目增加部分或减少后剩余部分工程量的项目单价。</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950" w:name="_Toc302635871"/>
      <w:bookmarkStart w:id="951" w:name="_Toc20661"/>
      <w:bookmarkStart w:id="952" w:name="_Toc67418650"/>
      <w:r>
        <w:rPr>
          <w:rFonts w:hint="eastAsia" w:ascii="宋体" w:hAnsi="宋体" w:cs="宋体"/>
          <w:sz w:val="24"/>
          <w:szCs w:val="24"/>
          <w:lang w:val="en-US" w:eastAsia="zh-CN"/>
        </w:rPr>
        <w:t xml:space="preserve">25.5 </w:t>
      </w:r>
      <w:r>
        <w:rPr>
          <w:rFonts w:hint="eastAsia" w:ascii="宋体" w:hAnsi="宋体" w:eastAsia="宋体" w:cs="宋体"/>
          <w:sz w:val="24"/>
          <w:szCs w:val="24"/>
        </w:rPr>
        <w:t>工程变更价款支付</w:t>
      </w:r>
      <w:bookmarkEnd w:id="949"/>
      <w:bookmarkEnd w:id="950"/>
      <w:bookmarkEnd w:id="951"/>
      <w:bookmarkEnd w:id="952"/>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⑴按第25.1、25.2款确认的增(减)工程变更价款作为追加(减)合同价款，与工程进度款同期同比例支付，达到追加(减)合同价款的一定比例时暂停支付，该比例在合同</w:t>
      </w:r>
      <w:r>
        <w:rPr>
          <w:rFonts w:hint="eastAsia" w:ascii="宋体" w:hAnsi="宋体" w:eastAsia="宋体" w:cs="宋体"/>
          <w:b/>
          <w:i/>
          <w:kern w:val="0"/>
        </w:rPr>
        <w:t>专用条款</w:t>
      </w:r>
      <w:r>
        <w:rPr>
          <w:rFonts w:hint="eastAsia" w:ascii="宋体" w:hAnsi="宋体" w:eastAsia="宋体" w:cs="宋体"/>
          <w:kern w:val="0"/>
        </w:rPr>
        <w:t>中明确。</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⑵有关工程变更价款的文件的编制和审核均须经注册造价工程师签字盖章确认。</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953" w:name="_Toc67418651"/>
      <w:bookmarkStart w:id="954" w:name="_Toc305331377"/>
      <w:bookmarkStart w:id="955" w:name="_Toc302635872"/>
      <w:bookmarkStart w:id="956" w:name="_Toc17349"/>
      <w:r>
        <w:rPr>
          <w:rFonts w:hint="eastAsia" w:ascii="宋体" w:hAnsi="宋体" w:cs="宋体"/>
          <w:sz w:val="24"/>
          <w:szCs w:val="24"/>
          <w:lang w:val="en-US" w:eastAsia="zh-CN"/>
        </w:rPr>
        <w:t xml:space="preserve">25.6 </w:t>
      </w:r>
      <w:r>
        <w:rPr>
          <w:rFonts w:hint="eastAsia" w:ascii="宋体" w:hAnsi="宋体" w:eastAsia="宋体" w:cs="宋体"/>
          <w:sz w:val="24"/>
          <w:szCs w:val="24"/>
        </w:rPr>
        <w:t>删减工作或工程的补偿</w:t>
      </w:r>
      <w:bookmarkEnd w:id="953"/>
      <w:bookmarkEnd w:id="954"/>
      <w:bookmarkEnd w:id="955"/>
      <w:bookmarkEnd w:id="956"/>
      <w:r>
        <w:rPr>
          <w:rFonts w:hint="eastAsia" w:ascii="宋体" w:hAnsi="宋体" w:eastAsia="宋体" w:cs="宋体"/>
          <w:sz w:val="24"/>
          <w:szCs w:val="24"/>
        </w:rPr>
        <w:t xml:space="preserve">                                                                                      </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由于非承包人原因删减了本合同中的某项原定工作或工程，致使承包人发生的费用或(和)预期收益不能被包括在其他已支付或应支付的项目中，也未包含在任何替代的工作或工程中，发包人应按照</w:t>
      </w:r>
      <w:r>
        <w:rPr>
          <w:rFonts w:hint="eastAsia" w:ascii="宋体" w:hAnsi="宋体" w:eastAsia="宋体" w:cs="宋体"/>
          <w:b/>
          <w:i/>
          <w:kern w:val="0"/>
        </w:rPr>
        <w:t>专用条款</w:t>
      </w:r>
      <w:r>
        <w:rPr>
          <w:rFonts w:hint="eastAsia" w:ascii="宋体" w:hAnsi="宋体" w:eastAsia="宋体" w:cs="宋体"/>
          <w:kern w:val="0"/>
        </w:rPr>
        <w:t>约定的方法给予承包人补偿。</w:t>
      </w:r>
    </w:p>
    <w:p>
      <w:pPr>
        <w:pStyle w:val="2"/>
        <w:keepNext w:val="0"/>
        <w:keepLines w:val="0"/>
        <w:widowControl w:val="0"/>
        <w:tabs>
          <w:tab w:val="left" w:pos="720"/>
          <w:tab w:val="left" w:pos="1620"/>
          <w:tab w:val="left" w:pos="2340"/>
        </w:tabs>
        <w:spacing w:before="240" w:after="120"/>
        <w:ind w:left="178" w:firstLine="0"/>
        <w:rPr>
          <w:rFonts w:hint="eastAsia" w:ascii="宋体" w:hAnsi="宋体" w:eastAsia="宋体" w:cs="宋体"/>
        </w:rPr>
      </w:pPr>
      <w:bookmarkStart w:id="957" w:name="_Toc305331378"/>
      <w:bookmarkStart w:id="958" w:name="_Toc302635873"/>
      <w:bookmarkStart w:id="959" w:name="_Toc18787"/>
      <w:bookmarkStart w:id="960" w:name="_Toc67418652"/>
      <w:bookmarkStart w:id="961" w:name="_Toc35656496"/>
      <w:bookmarkStart w:id="962" w:name="_Toc35656998"/>
      <w:bookmarkStart w:id="963" w:name="_Toc34909117"/>
      <w:r>
        <w:rPr>
          <w:rFonts w:hint="eastAsia" w:ascii="宋体" w:cs="宋体"/>
          <w:lang w:val="en-US" w:eastAsia="zh-CN"/>
        </w:rPr>
        <w:t xml:space="preserve">26 </w:t>
      </w:r>
      <w:r>
        <w:rPr>
          <w:rFonts w:hint="eastAsia" w:ascii="宋体" w:hAnsi="宋体" w:eastAsia="宋体" w:cs="宋体"/>
        </w:rPr>
        <w:t>竣工验收</w:t>
      </w:r>
      <w:bookmarkEnd w:id="957"/>
      <w:bookmarkEnd w:id="958"/>
      <w:bookmarkEnd w:id="959"/>
      <w:bookmarkEnd w:id="960"/>
      <w:bookmarkEnd w:id="961"/>
      <w:bookmarkEnd w:id="962"/>
      <w:bookmarkEnd w:id="963"/>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964" w:name="_Toc26892"/>
      <w:bookmarkStart w:id="965" w:name="_Toc305331379"/>
      <w:bookmarkStart w:id="966" w:name="_Toc67418653"/>
      <w:bookmarkStart w:id="967" w:name="_Toc302635874"/>
      <w:bookmarkStart w:id="968" w:name="_Toc34909068"/>
      <w:r>
        <w:rPr>
          <w:rFonts w:hint="eastAsia" w:ascii="宋体" w:hAnsi="宋体" w:cs="宋体"/>
          <w:sz w:val="24"/>
          <w:szCs w:val="24"/>
          <w:lang w:val="en-US" w:eastAsia="zh-CN"/>
        </w:rPr>
        <w:t xml:space="preserve">26.1 </w:t>
      </w:r>
      <w:r>
        <w:rPr>
          <w:rFonts w:hint="eastAsia" w:ascii="宋体" w:hAnsi="宋体" w:eastAsia="宋体" w:cs="宋体"/>
          <w:sz w:val="24"/>
          <w:szCs w:val="24"/>
        </w:rPr>
        <w:t>竣工验收</w:t>
      </w:r>
      <w:bookmarkEnd w:id="964"/>
      <w:bookmarkEnd w:id="965"/>
      <w:bookmarkEnd w:id="966"/>
      <w:bookmarkEnd w:id="967"/>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⑴工程具备以下条件的，承包人可以申请竣工验收：</w:t>
      </w:r>
    </w:p>
    <w:p>
      <w:pPr>
        <w:tabs>
          <w:tab w:val="left" w:pos="1620"/>
          <w:tab w:val="left" w:pos="2340"/>
        </w:tabs>
        <w:ind w:left="1134"/>
        <w:jc w:val="left"/>
        <w:rPr>
          <w:rFonts w:hint="eastAsia" w:ascii="宋体" w:hAnsi="宋体" w:eastAsia="宋体" w:cs="宋体"/>
          <w:kern w:val="0"/>
        </w:rPr>
      </w:pPr>
      <w:r>
        <w:rPr>
          <w:rFonts w:hint="eastAsia" w:ascii="宋体" w:hAnsi="宋体" w:eastAsia="宋体" w:cs="宋体"/>
          <w:kern w:val="0"/>
        </w:rPr>
        <w:t>①除发包人同意的甩项工作和缺陷修补工作外，合同范围内的全部工程以及有关工作，包括合同要求的试验、试运行以及检验均已完成，并符合合同要求；</w:t>
      </w:r>
    </w:p>
    <w:p>
      <w:pPr>
        <w:tabs>
          <w:tab w:val="left" w:pos="1620"/>
          <w:tab w:val="left" w:pos="2340"/>
        </w:tabs>
        <w:ind w:left="1134"/>
        <w:jc w:val="left"/>
        <w:rPr>
          <w:rFonts w:hint="eastAsia" w:ascii="宋体" w:hAnsi="宋体" w:eastAsia="宋体" w:cs="宋体"/>
          <w:kern w:val="0"/>
        </w:rPr>
      </w:pPr>
      <w:r>
        <w:rPr>
          <w:rFonts w:hint="eastAsia" w:ascii="宋体" w:hAnsi="宋体" w:eastAsia="宋体" w:cs="宋体"/>
          <w:kern w:val="0"/>
        </w:rPr>
        <w:t>②已按合同约定编制了甩项工作和缺陷修补工作清单以及相应的施工计划；</w:t>
      </w:r>
    </w:p>
    <w:p>
      <w:pPr>
        <w:tabs>
          <w:tab w:val="left" w:pos="1620"/>
          <w:tab w:val="left" w:pos="2340"/>
        </w:tabs>
        <w:ind w:left="1134"/>
        <w:jc w:val="left"/>
        <w:rPr>
          <w:rFonts w:hint="eastAsia" w:ascii="宋体" w:hAnsi="宋体" w:eastAsia="宋体" w:cs="宋体"/>
          <w:kern w:val="0"/>
        </w:rPr>
      </w:pPr>
      <w:r>
        <w:rPr>
          <w:rFonts w:hint="eastAsia" w:ascii="宋体" w:hAnsi="宋体" w:eastAsia="宋体" w:cs="宋体"/>
          <w:kern w:val="0"/>
        </w:rPr>
        <w:t>③已按合同约定的内容和份数备齐竣工资料。</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⑵工程具备竣工验收条件后21天内，承包人应按工程竣工验收的有关规定和</w:t>
      </w:r>
      <w:r>
        <w:rPr>
          <w:rFonts w:hint="eastAsia" w:ascii="宋体" w:hAnsi="宋体" w:eastAsia="宋体" w:cs="宋体"/>
          <w:b/>
          <w:i/>
          <w:kern w:val="0"/>
        </w:rPr>
        <w:t>专用条款</w:t>
      </w:r>
      <w:r>
        <w:rPr>
          <w:rFonts w:hint="eastAsia" w:ascii="宋体" w:hAnsi="宋体" w:eastAsia="宋体" w:cs="宋体"/>
          <w:kern w:val="0"/>
        </w:rPr>
        <w:t>的约定向监理人申请竣工验收并提供竣工资料(如项目经理任命通知书、施工组织设计方案、施工质量技术交底、施工日志、各种验收记录表和检测报告、工程变更资料、工程质量事故处理报告、竣工图纸等)。</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⑶监理人审查后认为尚不具备验收条件的，应通知承包人在竣工验收前承包人还需完成的工作内容，承包人应在完成监理人通知的全部工作内容后，再次提交竣工验收申请报告。</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⑷监理人审查后认为已具备竣工验收条件的，应将竣工验收申请报告提交发包人，发包人应在收到经监理人审核的竣工验收申请报告后28天内审批完毕并组织监理人、承包人、设计人等相关单位完成竣工验收。</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⑸发包人收到承包人提交的竣工验收申请后21天内不组织竣工验收，或竣工验收工作完毕后7天内不提出修改意见，均视为本工程通过竣工验收。发包人应承担此后本工程的一切保管责任。</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⑹本工程未经竣工验收或竣工验收未通过的，发包人不得使用。如发包人擅自使用，由此发生的质量问题及其他问题，由发包人承担责任，并承担此后本工程的一切保管责任。</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⑺根据</w:t>
      </w:r>
      <w:r>
        <w:rPr>
          <w:rFonts w:hint="eastAsia" w:ascii="宋体" w:hAnsi="宋体" w:eastAsia="宋体" w:cs="宋体"/>
          <w:b/>
          <w:i/>
          <w:kern w:val="0"/>
        </w:rPr>
        <w:t>专用条款</w:t>
      </w:r>
      <w:r>
        <w:rPr>
          <w:rFonts w:hint="eastAsia" w:ascii="宋体" w:hAnsi="宋体" w:eastAsia="宋体" w:cs="宋体"/>
          <w:kern w:val="0"/>
        </w:rPr>
        <w:t>的约定，本工程中某单项工程须单独进行竣工验收的，按本条有关竣工验收规定办理。</w:t>
      </w:r>
    </w:p>
    <w:bookmarkEnd w:id="968"/>
    <w:p>
      <w:pPr>
        <w:pStyle w:val="3"/>
        <w:tabs>
          <w:tab w:val="left" w:pos="540"/>
          <w:tab w:val="left" w:pos="900"/>
        </w:tabs>
        <w:spacing w:before="120" w:after="156"/>
        <w:ind w:left="359" w:firstLine="0"/>
        <w:jc w:val="left"/>
        <w:rPr>
          <w:rFonts w:hint="eastAsia" w:ascii="宋体" w:hAnsi="宋体" w:eastAsia="宋体" w:cs="宋体"/>
          <w:sz w:val="24"/>
          <w:szCs w:val="24"/>
        </w:rPr>
      </w:pPr>
      <w:bookmarkStart w:id="969" w:name="_Toc302635875"/>
      <w:bookmarkStart w:id="970" w:name="_Toc67418654"/>
      <w:bookmarkStart w:id="971" w:name="_Toc305331380"/>
      <w:bookmarkStart w:id="972" w:name="_Toc20914"/>
      <w:bookmarkStart w:id="973" w:name="_Toc34909119"/>
      <w:r>
        <w:rPr>
          <w:rFonts w:hint="eastAsia" w:ascii="宋体" w:hAnsi="宋体" w:cs="宋体"/>
          <w:sz w:val="24"/>
          <w:szCs w:val="24"/>
          <w:lang w:val="en-US" w:eastAsia="zh-CN"/>
        </w:rPr>
        <w:t xml:space="preserve">26.2 </w:t>
      </w:r>
      <w:r>
        <w:rPr>
          <w:rFonts w:hint="eastAsia" w:ascii="宋体" w:hAnsi="宋体" w:eastAsia="宋体" w:cs="宋体"/>
          <w:sz w:val="24"/>
          <w:szCs w:val="24"/>
        </w:rPr>
        <w:t>竣工验收合格后的移交和清理</w:t>
      </w:r>
      <w:bookmarkEnd w:id="969"/>
      <w:bookmarkEnd w:id="970"/>
      <w:bookmarkEnd w:id="971"/>
      <w:bookmarkEnd w:id="972"/>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工程竣工验收通过，发包人应在验收工作完毕后7天内向承包人签发交接证书，同时办理工程的移交工作。交接证书上应写明本工程的实际竣工日期(即竣工验收合格之日)。交接证书签发后，承包人应将工程交付给发包人，承包人不再承担对工程的照管责任。</w:t>
      </w:r>
      <w:bookmarkEnd w:id="973"/>
      <w:r>
        <w:rPr>
          <w:rFonts w:hint="eastAsia" w:ascii="宋体" w:hAnsi="宋体" w:eastAsia="宋体" w:cs="宋体"/>
          <w:kern w:val="0"/>
        </w:rPr>
        <w:t>承包人无正当理由不移交工程的，承包人应承担工程照管、成品保护、保管等与工程有关的各项费用，承发包双方可以在</w:t>
      </w:r>
      <w:r>
        <w:rPr>
          <w:rFonts w:hint="eastAsia" w:ascii="宋体" w:hAnsi="宋体" w:eastAsia="宋体" w:cs="宋体"/>
          <w:b/>
          <w:i/>
          <w:kern w:val="0"/>
        </w:rPr>
        <w:t>专用条款</w:t>
      </w:r>
      <w:r>
        <w:rPr>
          <w:rFonts w:hint="eastAsia" w:ascii="宋体" w:hAnsi="宋体" w:eastAsia="宋体" w:cs="宋体"/>
          <w:kern w:val="0"/>
        </w:rPr>
        <w:t>中另行约定承包人无正当理由不移交工程的违约责任。</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⑵在签发交接证书后，承包人应从施工现场清理并运出承包人装备、剩余材料设备、垃圾和各种临时工程，保持整个现场及工程整洁，达到竣工使用状态。如承包人未在发包人或监理人允许的合理时间内把所有的承包人装备、剩余材料设备、垃圾及各种临时工程运走，则发包人可以：</w:t>
      </w:r>
    </w:p>
    <w:p>
      <w:pPr>
        <w:tabs>
          <w:tab w:val="left" w:pos="1620"/>
          <w:tab w:val="left" w:pos="2340"/>
        </w:tabs>
        <w:ind w:left="899" w:firstLine="181"/>
        <w:jc w:val="left"/>
        <w:rPr>
          <w:rFonts w:hint="eastAsia" w:ascii="宋体" w:hAnsi="宋体" w:eastAsia="宋体" w:cs="宋体"/>
          <w:kern w:val="0"/>
        </w:rPr>
      </w:pPr>
      <w:r>
        <w:rPr>
          <w:rFonts w:hint="eastAsia" w:ascii="宋体" w:hAnsi="宋体" w:eastAsia="宋体" w:cs="宋体"/>
          <w:kern w:val="0"/>
        </w:rPr>
        <w:t>①委托他人将承包人装备、剩余材料及承包人的其他财产觅地存放；</w:t>
      </w:r>
    </w:p>
    <w:p>
      <w:pPr>
        <w:tabs>
          <w:tab w:val="left" w:pos="1620"/>
          <w:tab w:val="left" w:pos="2340"/>
        </w:tabs>
        <w:ind w:left="899" w:firstLine="181"/>
        <w:jc w:val="left"/>
        <w:rPr>
          <w:rFonts w:hint="eastAsia" w:ascii="宋体" w:hAnsi="宋体" w:eastAsia="宋体" w:cs="宋体"/>
          <w:kern w:val="0"/>
        </w:rPr>
      </w:pPr>
      <w:r>
        <w:rPr>
          <w:rFonts w:hint="eastAsia" w:ascii="宋体" w:hAnsi="宋体" w:eastAsia="宋体" w:cs="宋体"/>
          <w:kern w:val="0"/>
        </w:rPr>
        <w:t>②委托他人清除并运走垃圾、废料。</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因上述工作而发生的费用由承包人承担，发包人可从应付承包人的任何款项内扣除。</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⑶发包人无正当理由不接收工程的，发包人自应当接收工程之日起，承担工程照管、成品保护、保管等与工程有关的各项费用，承发包双方可以在</w:t>
      </w:r>
      <w:r>
        <w:rPr>
          <w:rFonts w:hint="eastAsia" w:ascii="宋体" w:hAnsi="宋体" w:eastAsia="宋体" w:cs="宋体"/>
          <w:b/>
          <w:i/>
          <w:kern w:val="0"/>
        </w:rPr>
        <w:t>专用条款</w:t>
      </w:r>
      <w:r>
        <w:rPr>
          <w:rFonts w:hint="eastAsia" w:ascii="宋体" w:hAnsi="宋体" w:eastAsia="宋体" w:cs="宋体"/>
          <w:kern w:val="0"/>
        </w:rPr>
        <w:t>中另行约定发包人逾期接收工程的违约责任。</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974" w:name="_Toc67418655"/>
      <w:bookmarkStart w:id="975" w:name="_Toc30025"/>
      <w:bookmarkStart w:id="976" w:name="_Toc302635876"/>
      <w:bookmarkStart w:id="977" w:name="_Toc305331381"/>
      <w:bookmarkStart w:id="978" w:name="_Toc34909121"/>
      <w:r>
        <w:rPr>
          <w:rFonts w:hint="eastAsia" w:ascii="宋体" w:hAnsi="宋体" w:cs="宋体"/>
          <w:sz w:val="24"/>
          <w:szCs w:val="24"/>
          <w:lang w:val="en-US" w:eastAsia="zh-CN"/>
        </w:rPr>
        <w:t xml:space="preserve">26.3 </w:t>
      </w:r>
      <w:r>
        <w:rPr>
          <w:rFonts w:hint="eastAsia" w:ascii="宋体" w:hAnsi="宋体" w:eastAsia="宋体" w:cs="宋体"/>
          <w:sz w:val="24"/>
          <w:szCs w:val="24"/>
        </w:rPr>
        <w:t>竣工验收质量不合格和重新验收</w:t>
      </w:r>
      <w:bookmarkEnd w:id="974"/>
      <w:bookmarkEnd w:id="975"/>
      <w:bookmarkEnd w:id="976"/>
      <w:bookmarkEnd w:id="977"/>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⑴如本工程竣工验收质量未达到合同约定的标准，承包人应按</w:t>
      </w:r>
      <w:r>
        <w:rPr>
          <w:rFonts w:hint="eastAsia" w:ascii="宋体" w:hAnsi="宋体" w:eastAsia="宋体" w:cs="宋体"/>
          <w:b/>
          <w:i/>
          <w:kern w:val="0"/>
        </w:rPr>
        <w:t>专用条款</w:t>
      </w:r>
      <w:r>
        <w:rPr>
          <w:rFonts w:hint="eastAsia" w:ascii="宋体" w:hAnsi="宋体" w:eastAsia="宋体" w:cs="宋体"/>
          <w:kern w:val="0"/>
        </w:rPr>
        <w:t>的约定承担违约责任。</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如本工程竣工验收质量未达到合同约定的标准，监理人应在验收工作完毕后7天内向承包人发出不予验收的指令，要求承包人对达不到合同约定标准的工程返工或修复。承包人在完成上述工作后，应重新提出竣工验收申请。发包人应按照第26.1款的约定重新组织竣工验收。竣工验收通过，发包人应按第26.2款的约定签发交接证书。交接证书中写明的实际竣工日期应为重新验收合格之日。</w:t>
      </w:r>
      <w:bookmarkEnd w:id="978"/>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979" w:name="_Toc302635880"/>
      <w:bookmarkStart w:id="980" w:name="_Toc5274"/>
      <w:bookmarkStart w:id="981" w:name="_Toc67418656"/>
      <w:bookmarkStart w:id="982" w:name="_Toc305331386"/>
      <w:bookmarkStart w:id="983" w:name="_Toc305331385"/>
      <w:r>
        <w:rPr>
          <w:rFonts w:hint="eastAsia" w:ascii="宋体" w:hAnsi="宋体" w:cs="宋体"/>
          <w:sz w:val="24"/>
          <w:szCs w:val="24"/>
          <w:lang w:val="en-US" w:eastAsia="zh-CN"/>
        </w:rPr>
        <w:t xml:space="preserve">26.4 </w:t>
      </w:r>
      <w:r>
        <w:rPr>
          <w:rFonts w:hint="eastAsia" w:ascii="宋体" w:hAnsi="宋体" w:eastAsia="宋体" w:cs="宋体"/>
          <w:sz w:val="24"/>
          <w:szCs w:val="24"/>
        </w:rPr>
        <w:t>竣工日期</w:t>
      </w:r>
      <w:bookmarkEnd w:id="979"/>
      <w:bookmarkEnd w:id="980"/>
      <w:bookmarkEnd w:id="981"/>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工程经竣工验收合格的，以竣工验收合格之日为实际竣工日期，并在工程接收证书中载明；因发包人原因，未在监理人收到承包人提交的竣工验收申请报告42天内完成竣工验收，或完成竣工验收不予签发工程接收证书的，以提交竣工验</w:t>
      </w:r>
      <w:bookmarkStart w:id="984" w:name="#go14"/>
      <w:bookmarkEnd w:id="984"/>
      <w:r>
        <w:rPr>
          <w:rFonts w:hint="eastAsia" w:ascii="宋体" w:hAnsi="宋体" w:eastAsia="宋体" w:cs="宋体"/>
          <w:kern w:val="0"/>
        </w:rPr>
        <w:t>收申请报告的日期为实际竣工日期；工程未经竣工验收，发包人擅自使用的，以转移占有工程之日为实际竣工日期。</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985" w:name="_Toc302635881"/>
      <w:bookmarkStart w:id="986" w:name="_Toc28759"/>
      <w:bookmarkStart w:id="987" w:name="_Toc67418657"/>
      <w:r>
        <w:rPr>
          <w:rFonts w:hint="eastAsia" w:ascii="宋体" w:hAnsi="宋体" w:cs="宋体"/>
          <w:sz w:val="24"/>
          <w:szCs w:val="24"/>
          <w:lang w:val="en-US" w:eastAsia="zh-CN"/>
        </w:rPr>
        <w:t xml:space="preserve">26.5 </w:t>
      </w:r>
      <w:r>
        <w:rPr>
          <w:rFonts w:hint="eastAsia" w:ascii="宋体" w:hAnsi="宋体" w:eastAsia="宋体" w:cs="宋体"/>
          <w:sz w:val="24"/>
          <w:szCs w:val="24"/>
        </w:rPr>
        <w:t>拒绝接收全部或部分工程</w:t>
      </w:r>
      <w:bookmarkEnd w:id="985"/>
      <w:bookmarkEnd w:id="986"/>
      <w:bookmarkEnd w:id="987"/>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988" w:name="_Toc67418658"/>
      <w:bookmarkStart w:id="989" w:name="_Toc26688"/>
      <w:bookmarkStart w:id="990" w:name="_Toc302635882"/>
      <w:r>
        <w:rPr>
          <w:rFonts w:hint="eastAsia" w:ascii="宋体" w:hAnsi="宋体" w:cs="宋体"/>
          <w:sz w:val="24"/>
          <w:szCs w:val="24"/>
          <w:lang w:val="en-US" w:eastAsia="zh-CN"/>
        </w:rPr>
        <w:t>26.6</w:t>
      </w:r>
      <w:r>
        <w:rPr>
          <w:rFonts w:hint="eastAsia" w:ascii="宋体" w:hAnsi="宋体" w:eastAsia="宋体" w:cs="宋体"/>
          <w:sz w:val="24"/>
          <w:szCs w:val="24"/>
        </w:rPr>
        <w:t>竣工验收工程质量争议处理</w:t>
      </w:r>
      <w:bookmarkEnd w:id="982"/>
      <w:bookmarkEnd w:id="988"/>
      <w:bookmarkEnd w:id="989"/>
      <w:bookmarkEnd w:id="990"/>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除发包人同意降低合同约定的质量标准接收工程(但不得低于国家强制性质量标准)外，发包人对工程质量有异议，拒不签发工程交接证书的，发包人与承包人应将此质量争议共同委托</w:t>
      </w:r>
      <w:r>
        <w:rPr>
          <w:rFonts w:hint="eastAsia" w:ascii="宋体" w:hAnsi="宋体" w:eastAsia="宋体" w:cs="宋体"/>
          <w:b/>
          <w:i/>
          <w:kern w:val="0"/>
        </w:rPr>
        <w:t>专用条款</w:t>
      </w:r>
      <w:r>
        <w:rPr>
          <w:rFonts w:hint="eastAsia" w:ascii="宋体" w:hAnsi="宋体" w:eastAsia="宋体" w:cs="宋体"/>
          <w:kern w:val="0"/>
        </w:rPr>
        <w:t>约定的有资质的质量检测鉴定机构进行检测。若质量检测合格，检测费用由发包人承担；若质量检测不合格，检测费用由承包人承担，并同时负责无偿修复此质量缺陷。</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991" w:name="_Toc302635883"/>
      <w:bookmarkStart w:id="992" w:name="_Toc67418659"/>
      <w:bookmarkStart w:id="993" w:name="_Toc30359"/>
      <w:r>
        <w:rPr>
          <w:rFonts w:hint="eastAsia" w:ascii="宋体" w:hAnsi="宋体" w:cs="宋体"/>
          <w:sz w:val="24"/>
          <w:szCs w:val="24"/>
          <w:lang w:val="en-US" w:eastAsia="zh-CN"/>
        </w:rPr>
        <w:t xml:space="preserve">26.7 </w:t>
      </w:r>
      <w:r>
        <w:rPr>
          <w:rFonts w:hint="eastAsia" w:ascii="宋体" w:hAnsi="宋体" w:eastAsia="宋体" w:cs="宋体"/>
          <w:sz w:val="24"/>
          <w:szCs w:val="24"/>
        </w:rPr>
        <w:t>履约评价与优质优价</w:t>
      </w:r>
      <w:bookmarkEnd w:id="983"/>
      <w:bookmarkEnd w:id="991"/>
      <w:bookmarkEnd w:id="992"/>
      <w:bookmarkEnd w:id="993"/>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⑴发包人应按照</w:t>
      </w:r>
      <w:r>
        <w:rPr>
          <w:rFonts w:hint="eastAsia" w:ascii="宋体" w:hAnsi="宋体" w:eastAsia="宋体" w:cs="宋体"/>
          <w:b/>
          <w:i/>
          <w:kern w:val="0"/>
        </w:rPr>
        <w:t>专用条款</w:t>
      </w:r>
      <w:r>
        <w:rPr>
          <w:rFonts w:hint="eastAsia" w:ascii="宋体" w:hAnsi="宋体" w:eastAsia="宋体" w:cs="宋体"/>
          <w:kern w:val="0"/>
        </w:rPr>
        <w:t>中的约定对承包人进行履约评价。</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⑵本工程实行优质优价，发包人与承包人应在</w:t>
      </w:r>
      <w:r>
        <w:rPr>
          <w:rFonts w:hint="eastAsia" w:ascii="宋体" w:hAnsi="宋体" w:eastAsia="宋体" w:cs="宋体"/>
          <w:b/>
          <w:i/>
          <w:kern w:val="0"/>
        </w:rPr>
        <w:t>专用条款</w:t>
      </w:r>
      <w:r>
        <w:rPr>
          <w:rFonts w:hint="eastAsia" w:ascii="宋体" w:hAnsi="宋体" w:eastAsia="宋体" w:cs="宋体"/>
          <w:kern w:val="0"/>
        </w:rPr>
        <w:t>中约定履约评价奖励及工程创优的奖励办法。</w:t>
      </w:r>
    </w:p>
    <w:p>
      <w:pPr>
        <w:pStyle w:val="2"/>
        <w:keepNext w:val="0"/>
        <w:keepLines w:val="0"/>
        <w:widowControl w:val="0"/>
        <w:tabs>
          <w:tab w:val="left" w:pos="720"/>
          <w:tab w:val="left" w:pos="1620"/>
          <w:tab w:val="left" w:pos="2340"/>
        </w:tabs>
        <w:spacing w:before="240" w:after="120"/>
        <w:ind w:left="178" w:firstLine="0"/>
        <w:rPr>
          <w:rFonts w:hint="eastAsia" w:ascii="宋体" w:hAnsi="宋体" w:eastAsia="宋体" w:cs="宋体"/>
        </w:rPr>
      </w:pPr>
      <w:bookmarkStart w:id="994" w:name="_Toc35656497"/>
      <w:bookmarkStart w:id="995" w:name="_Toc35656999"/>
      <w:bookmarkStart w:id="996" w:name="_Toc25354"/>
      <w:bookmarkStart w:id="997" w:name="_Toc67418660"/>
      <w:bookmarkStart w:id="998" w:name="_Toc302635884"/>
      <w:bookmarkStart w:id="999" w:name="_Toc34909125"/>
      <w:bookmarkStart w:id="1000" w:name="_Toc305331387"/>
      <w:r>
        <w:rPr>
          <w:rFonts w:hint="eastAsia" w:ascii="宋体" w:cs="宋体"/>
          <w:lang w:val="en-US" w:eastAsia="zh-CN"/>
        </w:rPr>
        <w:t xml:space="preserve">27 </w:t>
      </w:r>
      <w:r>
        <w:rPr>
          <w:rFonts w:hint="eastAsia" w:ascii="宋体" w:hAnsi="宋体" w:eastAsia="宋体" w:cs="宋体"/>
        </w:rPr>
        <w:t>竣工结算</w:t>
      </w:r>
      <w:bookmarkEnd w:id="994"/>
      <w:bookmarkEnd w:id="995"/>
      <w:bookmarkEnd w:id="996"/>
      <w:bookmarkEnd w:id="997"/>
      <w:bookmarkEnd w:id="998"/>
      <w:bookmarkEnd w:id="999"/>
      <w:bookmarkEnd w:id="1000"/>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001" w:name="_Toc10810"/>
      <w:bookmarkStart w:id="1002" w:name="_Toc67418661"/>
      <w:bookmarkStart w:id="1003" w:name="_Toc305331388"/>
      <w:bookmarkStart w:id="1004" w:name="_Toc302635885"/>
      <w:bookmarkStart w:id="1005" w:name="_Toc34909126"/>
      <w:r>
        <w:rPr>
          <w:rFonts w:hint="eastAsia" w:ascii="宋体" w:hAnsi="宋体" w:cs="宋体"/>
          <w:sz w:val="24"/>
          <w:szCs w:val="24"/>
          <w:lang w:val="en-US" w:eastAsia="zh-CN"/>
        </w:rPr>
        <w:t xml:space="preserve">27.1 </w:t>
      </w:r>
      <w:r>
        <w:rPr>
          <w:rFonts w:hint="eastAsia" w:ascii="宋体" w:hAnsi="宋体" w:eastAsia="宋体" w:cs="宋体"/>
          <w:sz w:val="24"/>
          <w:szCs w:val="24"/>
        </w:rPr>
        <w:t>竣工结算书的编制和提交</w:t>
      </w:r>
      <w:bookmarkEnd w:id="1001"/>
      <w:bookmarkEnd w:id="1002"/>
      <w:bookmarkEnd w:id="1003"/>
      <w:bookmarkEnd w:id="1004"/>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承包人应按照第20.1款约定的签约合同价和第20.2款约定的合同价格调整内容计算竣工结算价款，编制竣工结算书，并汇总竣工结算资料。竣工结算资料一般包括施工合同、工程竣工图纸及资料、双方确认的工程量、双方确认追加(减)的合同价格、双方确认的索赔和现场签证事项及价款、招标文件、投标文件、工程量清单报价单或施工图预算书等与竣工结算有关的资料。</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发包人与承包人开展施工过程结算的，双方确认的过程结算文件将作为竣工结算资料的组成部分，具体在</w:t>
      </w:r>
      <w:r>
        <w:rPr>
          <w:rFonts w:hint="eastAsia" w:ascii="宋体" w:hAnsi="宋体" w:eastAsia="宋体" w:cs="宋体"/>
          <w:b/>
          <w:i/>
          <w:kern w:val="0"/>
        </w:rPr>
        <w:t>专用条款</w:t>
      </w:r>
      <w:r>
        <w:rPr>
          <w:rFonts w:hint="eastAsia" w:ascii="宋体" w:hAnsi="宋体" w:eastAsia="宋体" w:cs="宋体"/>
          <w:kern w:val="0"/>
        </w:rPr>
        <w:t>约定。</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⑵工程竣工验收合格后，在</w:t>
      </w:r>
      <w:r>
        <w:rPr>
          <w:rFonts w:hint="eastAsia" w:ascii="宋体" w:hAnsi="宋体" w:eastAsia="宋体" w:cs="宋体"/>
          <w:b/>
          <w:i/>
          <w:kern w:val="0"/>
        </w:rPr>
        <w:t>专用条款</w:t>
      </w:r>
      <w:r>
        <w:rPr>
          <w:rFonts w:hint="eastAsia" w:ascii="宋体" w:hAnsi="宋体" w:eastAsia="宋体" w:cs="宋体"/>
          <w:kern w:val="0"/>
        </w:rPr>
        <w:t>约定的时间内，承包人应向发包人提交竣工结算书及完整的结算资料</w:t>
      </w:r>
      <w:bookmarkEnd w:id="1005"/>
      <w:r>
        <w:rPr>
          <w:rFonts w:hint="eastAsia" w:ascii="宋体" w:hAnsi="宋体" w:eastAsia="宋体" w:cs="宋体"/>
          <w:kern w:val="0"/>
        </w:rPr>
        <w:t>。政府投资项目应按《深圳经济特区政府投资项目管理条例》等相关规定执行。</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006" w:name="_Toc302635886"/>
      <w:bookmarkStart w:id="1007" w:name="_Toc67418662"/>
      <w:bookmarkStart w:id="1008" w:name="_Toc30273"/>
      <w:bookmarkStart w:id="1009" w:name="_Toc305331389"/>
      <w:bookmarkStart w:id="1010" w:name="_Toc34909127"/>
      <w:r>
        <w:rPr>
          <w:rFonts w:hint="eastAsia" w:ascii="宋体" w:hAnsi="宋体" w:cs="宋体"/>
          <w:sz w:val="24"/>
          <w:szCs w:val="24"/>
          <w:lang w:val="en-US" w:eastAsia="zh-CN"/>
        </w:rPr>
        <w:t xml:space="preserve">27.2 </w:t>
      </w:r>
      <w:r>
        <w:rPr>
          <w:rFonts w:hint="eastAsia" w:ascii="宋体" w:hAnsi="宋体" w:eastAsia="宋体" w:cs="宋体"/>
          <w:sz w:val="24"/>
          <w:szCs w:val="24"/>
        </w:rPr>
        <w:t>竣工结算书的核对和修改</w:t>
      </w:r>
      <w:bookmarkEnd w:id="1006"/>
      <w:bookmarkEnd w:id="1007"/>
      <w:bookmarkEnd w:id="1008"/>
      <w:bookmarkEnd w:id="1009"/>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⑴发包人在收到承包人提交的竣工结算书及结算资料后28天或</w:t>
      </w:r>
      <w:r>
        <w:rPr>
          <w:rFonts w:hint="eastAsia" w:ascii="宋体" w:hAnsi="宋体" w:eastAsia="宋体" w:cs="宋体"/>
          <w:b/>
          <w:i/>
          <w:kern w:val="0"/>
        </w:rPr>
        <w:t>专用条款</w:t>
      </w:r>
      <w:r>
        <w:rPr>
          <w:rFonts w:hint="eastAsia" w:ascii="宋体" w:hAnsi="宋体" w:eastAsia="宋体" w:cs="宋体"/>
          <w:kern w:val="0"/>
        </w:rPr>
        <w:t>约定的时间内，应按合同的有关约定，依据结算资料，在监理人的协助下，对承包人提交的竣工结算书进行核对：</w:t>
      </w:r>
    </w:p>
    <w:p>
      <w:pPr>
        <w:tabs>
          <w:tab w:val="left" w:pos="1620"/>
          <w:tab w:val="left" w:pos="2340"/>
        </w:tabs>
        <w:ind w:left="899" w:firstLine="181"/>
        <w:jc w:val="left"/>
        <w:rPr>
          <w:rFonts w:hint="eastAsia" w:ascii="宋体" w:hAnsi="宋体" w:eastAsia="宋体" w:cs="宋体"/>
          <w:kern w:val="0"/>
        </w:rPr>
      </w:pPr>
      <w:r>
        <w:rPr>
          <w:rFonts w:hint="eastAsia" w:ascii="宋体" w:hAnsi="宋体" w:eastAsia="宋体" w:cs="宋体"/>
          <w:kern w:val="0"/>
        </w:rPr>
        <w:t>①认可承包人提交的竣工结算书，并确认工程竣工结算价款；或</w:t>
      </w:r>
    </w:p>
    <w:p>
      <w:pPr>
        <w:tabs>
          <w:tab w:val="left" w:pos="1620"/>
          <w:tab w:val="left" w:pos="2340"/>
        </w:tabs>
        <w:ind w:left="899" w:firstLine="181"/>
        <w:jc w:val="left"/>
        <w:rPr>
          <w:rFonts w:hint="eastAsia" w:ascii="宋体" w:hAnsi="宋体" w:eastAsia="宋体" w:cs="宋体"/>
          <w:kern w:val="0"/>
        </w:rPr>
      </w:pPr>
      <w:r>
        <w:rPr>
          <w:rFonts w:hint="eastAsia" w:ascii="宋体" w:hAnsi="宋体" w:eastAsia="宋体" w:cs="宋体"/>
          <w:kern w:val="0"/>
        </w:rPr>
        <w:t>②提出核对意见或要求补充结算资料。</w:t>
      </w:r>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⑵承包人应在收到发包人提出的核对意见后14天或</w:t>
      </w:r>
      <w:r>
        <w:rPr>
          <w:rFonts w:hint="eastAsia" w:ascii="宋体" w:hAnsi="宋体" w:eastAsia="宋体" w:cs="宋体"/>
          <w:b/>
          <w:i/>
          <w:kern w:val="0"/>
        </w:rPr>
        <w:t>专用条款</w:t>
      </w:r>
      <w:r>
        <w:rPr>
          <w:rFonts w:hint="eastAsia" w:ascii="宋体" w:hAnsi="宋体" w:eastAsia="宋体" w:cs="宋体"/>
          <w:kern w:val="0"/>
        </w:rPr>
        <w:t>约定的时间内，向发包人提交经修改的竣工结算书或补充结算资料。发包人应在收到后14天或</w:t>
      </w:r>
      <w:r>
        <w:rPr>
          <w:rFonts w:hint="eastAsia" w:ascii="宋体" w:hAnsi="宋体" w:eastAsia="宋体" w:cs="宋体"/>
          <w:b/>
          <w:i/>
          <w:kern w:val="0"/>
        </w:rPr>
        <w:t>专用条款</w:t>
      </w:r>
      <w:r>
        <w:rPr>
          <w:rFonts w:hint="eastAsia" w:ascii="宋体" w:hAnsi="宋体" w:eastAsia="宋体" w:cs="宋体"/>
          <w:kern w:val="0"/>
        </w:rPr>
        <w:t>约定的时间内，进行核对，经与承包人协商达成一致意见后确认工程竣工结算价款。</w:t>
      </w:r>
      <w:bookmarkEnd w:id="1010"/>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⑶承包人在收到发包人提出的核对意见后14天或</w:t>
      </w:r>
      <w:r>
        <w:rPr>
          <w:rFonts w:hint="eastAsia" w:ascii="宋体" w:hAnsi="宋体" w:eastAsia="宋体" w:cs="宋体"/>
          <w:b/>
          <w:i/>
          <w:kern w:val="0"/>
        </w:rPr>
        <w:t>专用条款</w:t>
      </w:r>
      <w:r>
        <w:rPr>
          <w:rFonts w:hint="eastAsia" w:ascii="宋体" w:hAnsi="宋体" w:eastAsia="宋体" w:cs="宋体"/>
          <w:kern w:val="0"/>
        </w:rPr>
        <w:t>约定的时间内未提出异议或没有明确答复的，视为发包人的核对意见被承包人认可且接受，竣工结算至此办理完毕。</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011" w:name="_Toc67418663"/>
      <w:bookmarkStart w:id="1012" w:name="_Toc302635887"/>
      <w:bookmarkStart w:id="1013" w:name="_Toc305331390"/>
      <w:bookmarkStart w:id="1014" w:name="_Toc6102"/>
      <w:r>
        <w:rPr>
          <w:rFonts w:hint="eastAsia" w:ascii="宋体" w:hAnsi="宋体" w:cs="宋体"/>
          <w:sz w:val="24"/>
          <w:szCs w:val="24"/>
          <w:lang w:val="en-US" w:eastAsia="zh-CN"/>
        </w:rPr>
        <w:t xml:space="preserve">27.3 </w:t>
      </w:r>
      <w:r>
        <w:rPr>
          <w:rFonts w:hint="eastAsia" w:ascii="宋体" w:hAnsi="宋体" w:eastAsia="宋体" w:cs="宋体"/>
          <w:sz w:val="24"/>
          <w:szCs w:val="24"/>
        </w:rPr>
        <w:t>竣工结算书核对次数</w:t>
      </w:r>
      <w:bookmarkEnd w:id="1011"/>
      <w:bookmarkEnd w:id="1012"/>
      <w:bookmarkEnd w:id="1013"/>
      <w:bookmarkEnd w:id="1014"/>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⑴除</w:t>
      </w:r>
      <w:r>
        <w:rPr>
          <w:rFonts w:hint="eastAsia" w:ascii="宋体" w:hAnsi="宋体" w:eastAsia="宋体" w:cs="宋体"/>
          <w:b/>
          <w:i/>
          <w:kern w:val="0"/>
        </w:rPr>
        <w:t>专用条款</w:t>
      </w:r>
      <w:r>
        <w:rPr>
          <w:rFonts w:hint="eastAsia" w:ascii="宋体" w:hAnsi="宋体" w:eastAsia="宋体" w:cs="宋体"/>
          <w:kern w:val="0"/>
        </w:rPr>
        <w:t>明确约定核对人及核对次数，发包人、承包人双方对竣工结算仅需核对一次，但承包人依据发包人提出的核对意见后修改重新提交核对的除外。本工程竣工结算核对完成，发包人、承包人双方签字确认后，发包人不应要求承包人与另一个或多个工程造价咨询机构重复核对发包人和承包人已确认的竣工结算。</w:t>
      </w:r>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⑵依据相关法律、法规、规章，要求使用国有资金和集体所有资金等投资建设工程的竣工结算需向政府指定机构提交审计或审核的，该审计或审核行为不视为第27.3⑴款所述核对。</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015" w:name="_Toc67418664"/>
      <w:bookmarkStart w:id="1016" w:name="_Toc305331391"/>
      <w:bookmarkStart w:id="1017" w:name="_Toc302635888"/>
      <w:bookmarkStart w:id="1018" w:name="_Toc8910"/>
      <w:r>
        <w:rPr>
          <w:rFonts w:hint="eastAsia" w:ascii="宋体" w:hAnsi="宋体" w:cs="宋体"/>
          <w:sz w:val="24"/>
          <w:szCs w:val="24"/>
          <w:lang w:val="en-US" w:eastAsia="zh-CN"/>
        </w:rPr>
        <w:t xml:space="preserve">27.4 </w:t>
      </w:r>
      <w:r>
        <w:rPr>
          <w:rFonts w:hint="eastAsia" w:ascii="宋体" w:hAnsi="宋体" w:eastAsia="宋体" w:cs="宋体"/>
          <w:sz w:val="24"/>
          <w:szCs w:val="24"/>
        </w:rPr>
        <w:t>承包人不提交竣工结算书</w:t>
      </w:r>
      <w:bookmarkEnd w:id="1015"/>
      <w:bookmarkEnd w:id="1016"/>
      <w:bookmarkEnd w:id="1017"/>
      <w:bookmarkEnd w:id="1018"/>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在本合同约定期限内，承包人未提交竣工结算书及结算资料(包括经修改的竣工结算书或补充结算资料)，监理人应通知其要求提交，通知后14天内仍不提交的或没有明确答复的，发包人可在</w:t>
      </w:r>
      <w:r>
        <w:rPr>
          <w:rFonts w:hint="eastAsia" w:ascii="宋体" w:hAnsi="宋体" w:eastAsia="宋体" w:cs="宋体"/>
          <w:b/>
          <w:i/>
          <w:kern w:val="0"/>
        </w:rPr>
        <w:t>专用条款</w:t>
      </w:r>
      <w:r>
        <w:rPr>
          <w:rFonts w:hint="eastAsia" w:ascii="宋体" w:hAnsi="宋体" w:eastAsia="宋体" w:cs="宋体"/>
          <w:kern w:val="0"/>
        </w:rPr>
        <w:t>中约定按以下方式进行处理：</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⑴依据已有资料进行审查、核实，并确定工程竣工结算价款，书面提交承包人，并以此作为竣工结算价款支付依据。若承包人不予接受的，按第30条［争议解决］的约定处理。</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⑵按</w:t>
      </w:r>
      <w:r>
        <w:rPr>
          <w:rFonts w:hint="eastAsia" w:ascii="宋体" w:hAnsi="宋体" w:eastAsia="宋体" w:cs="宋体"/>
          <w:b/>
          <w:i/>
          <w:kern w:val="0"/>
        </w:rPr>
        <w:t>专用条款</w:t>
      </w:r>
      <w:r>
        <w:rPr>
          <w:rFonts w:hint="eastAsia" w:ascii="宋体" w:hAnsi="宋体" w:eastAsia="宋体" w:cs="宋体"/>
          <w:kern w:val="0"/>
        </w:rPr>
        <w:t>的约定对承包人进行处罚。</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019" w:name="_Toc305331392"/>
      <w:bookmarkStart w:id="1020" w:name="_Toc302635889"/>
      <w:bookmarkStart w:id="1021" w:name="_Toc67418665"/>
      <w:bookmarkStart w:id="1022" w:name="_Toc28848"/>
      <w:r>
        <w:rPr>
          <w:rFonts w:hint="eastAsia" w:ascii="宋体" w:hAnsi="宋体" w:cs="宋体"/>
          <w:sz w:val="24"/>
          <w:szCs w:val="24"/>
          <w:lang w:val="en-US" w:eastAsia="zh-CN"/>
        </w:rPr>
        <w:t xml:space="preserve">27.5 </w:t>
      </w:r>
      <w:r>
        <w:rPr>
          <w:rFonts w:hint="eastAsia" w:ascii="宋体" w:hAnsi="宋体" w:eastAsia="宋体" w:cs="宋体"/>
          <w:sz w:val="24"/>
          <w:szCs w:val="24"/>
        </w:rPr>
        <w:t>发包人逾期不结算</w:t>
      </w:r>
      <w:bookmarkEnd w:id="1019"/>
      <w:bookmarkEnd w:id="1020"/>
      <w:bookmarkEnd w:id="1021"/>
      <w:bookmarkEnd w:id="1022"/>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发包人收到竣工结算书及结算资料后28天或</w:t>
      </w:r>
      <w:r>
        <w:rPr>
          <w:rFonts w:hint="eastAsia" w:ascii="宋体" w:hAnsi="宋体" w:eastAsia="宋体" w:cs="宋体"/>
          <w:b/>
          <w:i/>
          <w:kern w:val="0"/>
        </w:rPr>
        <w:t>专用条款</w:t>
      </w:r>
      <w:r>
        <w:rPr>
          <w:rFonts w:hint="eastAsia" w:ascii="宋体" w:hAnsi="宋体" w:eastAsia="宋体" w:cs="宋体"/>
          <w:kern w:val="0"/>
        </w:rPr>
        <w:t>约定的时间内，或在收到经修改的竣工结算书或补充结算资料后14天或</w:t>
      </w:r>
      <w:r>
        <w:rPr>
          <w:rFonts w:hint="eastAsia" w:ascii="宋体" w:hAnsi="宋体" w:eastAsia="宋体" w:cs="宋体"/>
          <w:b/>
          <w:i/>
          <w:kern w:val="0"/>
        </w:rPr>
        <w:t>专用条款</w:t>
      </w:r>
      <w:r>
        <w:rPr>
          <w:rFonts w:hint="eastAsia" w:ascii="宋体" w:hAnsi="宋体" w:eastAsia="宋体" w:cs="宋体"/>
          <w:kern w:val="0"/>
        </w:rPr>
        <w:t>约定的时间内，既不认可承包人提交的竣工结算书(包括经修改的竣工结算书)，又不提出异议的，视同认可承包人提交的竣工结算书。承包人依此向发包人申请支付，发包人拒不支付的，按第30条［争议解决］的约定处理。</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023" w:name="_Toc305331393"/>
      <w:bookmarkStart w:id="1024" w:name="_Toc67418666"/>
      <w:bookmarkStart w:id="1025" w:name="_Toc16600"/>
      <w:bookmarkStart w:id="1026" w:name="_Toc302635890"/>
      <w:bookmarkStart w:id="1027" w:name="_Toc34909128"/>
      <w:r>
        <w:rPr>
          <w:rFonts w:hint="eastAsia" w:ascii="宋体" w:hAnsi="宋体" w:cs="宋体"/>
          <w:sz w:val="24"/>
          <w:szCs w:val="24"/>
          <w:lang w:val="en-US" w:eastAsia="zh-CN"/>
        </w:rPr>
        <w:t xml:space="preserve">27.6 </w:t>
      </w:r>
      <w:r>
        <w:rPr>
          <w:rFonts w:hint="eastAsia" w:ascii="宋体" w:hAnsi="宋体" w:eastAsia="宋体" w:cs="宋体"/>
          <w:sz w:val="24"/>
          <w:szCs w:val="24"/>
        </w:rPr>
        <w:t>竣工结算</w:t>
      </w:r>
      <w:bookmarkEnd w:id="1023"/>
      <w:r>
        <w:rPr>
          <w:rFonts w:hint="eastAsia" w:ascii="宋体" w:hAnsi="宋体" w:eastAsia="宋体" w:cs="宋体"/>
          <w:sz w:val="24"/>
          <w:szCs w:val="24"/>
        </w:rPr>
        <w:t>审计或审核</w:t>
      </w:r>
      <w:bookmarkEnd w:id="1024"/>
      <w:bookmarkEnd w:id="1025"/>
      <w:bookmarkEnd w:id="1026"/>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⑴在发包人和承包人确认竣工结算价款后7天内，发包人应当将经发包人和承包人共同确认的竣工结算书按规定报政府指定机构审计或审核。在</w:t>
      </w:r>
      <w:r>
        <w:rPr>
          <w:rFonts w:hint="eastAsia" w:ascii="宋体" w:hAnsi="宋体" w:eastAsia="宋体" w:cs="宋体"/>
          <w:b/>
          <w:i/>
          <w:kern w:val="0"/>
        </w:rPr>
        <w:t>专用条款</w:t>
      </w:r>
      <w:r>
        <w:rPr>
          <w:rFonts w:hint="eastAsia" w:ascii="宋体" w:hAnsi="宋体" w:eastAsia="宋体" w:cs="宋体"/>
          <w:kern w:val="0"/>
        </w:rPr>
        <w:t>约定的特殊情况下，发包人可启动强制结算机制，将其单方编制的结算文件送审计或审核。</w:t>
      </w:r>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⑵本合同的任何工程变更、索赔、签证和竣工结算以及补充协议(如果有)应按规定经过政府指定机构审计或审核。最终的竣工结算和支付依据按</w:t>
      </w:r>
      <w:r>
        <w:rPr>
          <w:rFonts w:hint="eastAsia" w:ascii="宋体" w:hAnsi="宋体" w:eastAsia="宋体" w:cs="宋体"/>
          <w:b/>
          <w:i/>
          <w:kern w:val="0"/>
        </w:rPr>
        <w:t>专用条款</w:t>
      </w:r>
      <w:r>
        <w:rPr>
          <w:rFonts w:hint="eastAsia" w:ascii="宋体" w:hAnsi="宋体" w:eastAsia="宋体" w:cs="宋体"/>
          <w:kern w:val="0"/>
        </w:rPr>
        <w:t>约定执行。</w:t>
      </w:r>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⑶政府指定机构的审计或审核包括合同履行期间的过程审计或审核、工程完工后的竣工结算审计或审核。发包人和承包人均不得拒绝政府指定机构的任何监管，必须充分配合审计或审核，不得拖延。</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028" w:name="_Toc305331394"/>
      <w:bookmarkStart w:id="1029" w:name="_Toc20585"/>
      <w:bookmarkStart w:id="1030" w:name="_Toc67418667"/>
      <w:bookmarkStart w:id="1031" w:name="_Toc302635891"/>
      <w:r>
        <w:rPr>
          <w:rFonts w:hint="eastAsia" w:ascii="宋体" w:hAnsi="宋体" w:cs="宋体"/>
          <w:sz w:val="24"/>
          <w:szCs w:val="24"/>
          <w:lang w:val="en-US" w:eastAsia="zh-CN"/>
        </w:rPr>
        <w:t xml:space="preserve">27.7 </w:t>
      </w:r>
      <w:r>
        <w:rPr>
          <w:rFonts w:hint="eastAsia" w:ascii="宋体" w:hAnsi="宋体" w:eastAsia="宋体" w:cs="宋体"/>
          <w:sz w:val="24"/>
          <w:szCs w:val="24"/>
        </w:rPr>
        <w:t>竣工结算支付</w:t>
      </w:r>
      <w:bookmarkEnd w:id="1028"/>
      <w:bookmarkEnd w:id="1029"/>
      <w:bookmarkEnd w:id="1030"/>
      <w:bookmarkEnd w:id="1031"/>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⑴在按27.6款竣工结算审计或审核完毕后7天内，监理人应签发竣工支付证书，报发包人批准后送交承包人。竣工支付证书中应载明</w:t>
      </w:r>
      <w:bookmarkEnd w:id="1027"/>
      <w:r>
        <w:rPr>
          <w:rFonts w:hint="eastAsia" w:ascii="宋体" w:hAnsi="宋体" w:eastAsia="宋体" w:cs="宋体"/>
          <w:kern w:val="0"/>
        </w:rPr>
        <w:t>按照经确认的工程竣工结算价款及根据合同约定最后应支付给承包人的价款。</w:t>
      </w:r>
    </w:p>
    <w:p>
      <w:pPr>
        <w:tabs>
          <w:tab w:val="left" w:pos="1620"/>
          <w:tab w:val="left" w:pos="2340"/>
        </w:tabs>
        <w:spacing w:before="156" w:after="156"/>
        <w:ind w:left="899"/>
        <w:jc w:val="left"/>
        <w:rPr>
          <w:rFonts w:hint="eastAsia" w:ascii="宋体" w:hAnsi="宋体" w:eastAsia="宋体" w:cs="宋体"/>
          <w:kern w:val="0"/>
        </w:rPr>
      </w:pPr>
      <w:bookmarkStart w:id="1032" w:name="_Toc34909129"/>
      <w:r>
        <w:rPr>
          <w:rFonts w:hint="eastAsia" w:ascii="宋体" w:hAnsi="宋体" w:eastAsia="宋体" w:cs="宋体"/>
          <w:kern w:val="0"/>
        </w:rPr>
        <w:t>⑵发包人应在确认竣工支付证书后14天内向承包人支付除按本合同附件《工程质量保修书》约定扣留的质量保证金以外的本工程竣工结算价款。</w:t>
      </w:r>
      <w:bookmarkEnd w:id="1032"/>
    </w:p>
    <w:p>
      <w:pPr>
        <w:tabs>
          <w:tab w:val="left" w:pos="1620"/>
          <w:tab w:val="left" w:pos="2340"/>
        </w:tabs>
        <w:spacing w:before="156" w:after="156"/>
        <w:ind w:left="899"/>
        <w:jc w:val="left"/>
        <w:rPr>
          <w:rFonts w:hint="eastAsia" w:ascii="宋体" w:hAnsi="宋体" w:eastAsia="宋体" w:cs="宋体"/>
          <w:kern w:val="0"/>
        </w:rPr>
      </w:pPr>
      <w:bookmarkStart w:id="1033" w:name="_Toc34909130"/>
      <w:r>
        <w:rPr>
          <w:rFonts w:hint="eastAsia" w:ascii="宋体" w:hAnsi="宋体" w:eastAsia="宋体" w:cs="宋体"/>
          <w:kern w:val="0"/>
        </w:rPr>
        <w:t>⑶发包人在确认竣工结算价款后14天内无正当理由不支付工程竣工结算价款，从第15天起按同期银行贷款利率支付拖欠工程价款的贷款利息，并承担第28.1⑵项约定的违约责任。承包人可以催告发包人支付结算价款，如双方达成延期支付协议，发包人应按同期银行贷款利率支付拖欠工程价款的利息。如双方未达成延期支付协议，发包人在收到催告后14天内仍不支付的，承包人可以对留置的标的物进行处理；或者向保证人提出支付担保索赔；或者与发包人协议将该工程折价或拍卖，承包人就该工程折价或拍卖的价款优先受偿。</w:t>
      </w:r>
      <w:bookmarkEnd w:id="1033"/>
    </w:p>
    <w:p>
      <w:pPr>
        <w:tabs>
          <w:tab w:val="left" w:pos="1620"/>
          <w:tab w:val="left" w:pos="2340"/>
        </w:tabs>
        <w:spacing w:before="156" w:after="156"/>
        <w:ind w:left="899"/>
        <w:jc w:val="left"/>
        <w:rPr>
          <w:rFonts w:hint="eastAsia" w:ascii="宋体" w:hAnsi="宋体" w:eastAsia="宋体" w:cs="宋体"/>
          <w:kern w:val="0"/>
        </w:rPr>
      </w:pPr>
      <w:bookmarkStart w:id="1034" w:name="_Toc34909131"/>
      <w:r>
        <w:rPr>
          <w:rFonts w:hint="eastAsia" w:ascii="宋体" w:hAnsi="宋体" w:eastAsia="宋体" w:cs="宋体"/>
          <w:kern w:val="0"/>
        </w:rPr>
        <w:t>⑷有关本工程竣工结算的文件的编制和审核均须经注册造价工程师签字盖章确认。</w:t>
      </w:r>
      <w:bookmarkEnd w:id="1034"/>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035" w:name="_Toc67418668"/>
      <w:bookmarkStart w:id="1036" w:name="_Toc22855"/>
      <w:bookmarkStart w:id="1037" w:name="_Toc302635892"/>
      <w:r>
        <w:rPr>
          <w:rFonts w:hint="eastAsia" w:ascii="宋体" w:hAnsi="宋体" w:cs="宋体"/>
          <w:sz w:val="24"/>
          <w:szCs w:val="24"/>
          <w:lang w:val="en-US" w:eastAsia="zh-CN"/>
        </w:rPr>
        <w:t xml:space="preserve">27.8 </w:t>
      </w:r>
      <w:r>
        <w:rPr>
          <w:rFonts w:hint="eastAsia" w:ascii="宋体" w:hAnsi="宋体" w:eastAsia="宋体" w:cs="宋体"/>
          <w:sz w:val="24"/>
          <w:szCs w:val="24"/>
        </w:rPr>
        <w:t>最终结清申请</w:t>
      </w:r>
      <w:bookmarkEnd w:id="1035"/>
      <w:bookmarkEnd w:id="1036"/>
      <w:bookmarkEnd w:id="1037"/>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⑴除</w:t>
      </w:r>
      <w:r>
        <w:rPr>
          <w:rFonts w:hint="eastAsia" w:ascii="宋体" w:hAnsi="宋体" w:eastAsia="宋体" w:cs="宋体"/>
          <w:b/>
          <w:i/>
          <w:kern w:val="0"/>
        </w:rPr>
        <w:t>专用条款</w:t>
      </w:r>
      <w:r>
        <w:rPr>
          <w:rFonts w:hint="eastAsia" w:ascii="宋体" w:hAnsi="宋体" w:eastAsia="宋体" w:cs="宋体"/>
          <w:kern w:val="0"/>
        </w:rPr>
        <w:t>另有约定外，承包人应在缺陷责任期终止证书颁发后7天内，按</w:t>
      </w:r>
      <w:r>
        <w:rPr>
          <w:rFonts w:hint="eastAsia" w:ascii="宋体" w:hAnsi="宋体" w:eastAsia="宋体" w:cs="宋体"/>
          <w:b/>
          <w:i/>
          <w:kern w:val="0"/>
        </w:rPr>
        <w:t>专用条款</w:t>
      </w:r>
      <w:r>
        <w:rPr>
          <w:rFonts w:hint="eastAsia" w:ascii="宋体" w:hAnsi="宋体" w:eastAsia="宋体" w:cs="宋体"/>
          <w:kern w:val="0"/>
        </w:rPr>
        <w:t>约定的份数向发包人提交最终结清申请单，并提供相关证明材料。</w:t>
      </w:r>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除</w:t>
      </w:r>
      <w:r>
        <w:rPr>
          <w:rFonts w:hint="eastAsia" w:ascii="宋体" w:hAnsi="宋体" w:eastAsia="宋体" w:cs="宋体"/>
          <w:b/>
          <w:i/>
          <w:kern w:val="0"/>
        </w:rPr>
        <w:t>专用条款</w:t>
      </w:r>
      <w:r>
        <w:rPr>
          <w:rFonts w:hint="eastAsia" w:ascii="宋体" w:hAnsi="宋体" w:eastAsia="宋体" w:cs="宋体"/>
          <w:kern w:val="0"/>
        </w:rPr>
        <w:t>另有约定外，最终结清申请单应列明质量保证金、应扣除的质量保证金、缺陷责任期内发生的增减费用。</w:t>
      </w:r>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⑵发包人对最终结清申请单内容有异议的，有权要求承包人进行修正和提供补充资料，承包人应向发包人提交修正后的最终结清申请单。</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038" w:name="_Toc12522"/>
      <w:bookmarkStart w:id="1039" w:name="_Toc302635893"/>
      <w:bookmarkStart w:id="1040" w:name="_Toc67418669"/>
      <w:r>
        <w:rPr>
          <w:rFonts w:hint="eastAsia" w:ascii="宋体" w:hAnsi="宋体" w:cs="宋体"/>
          <w:sz w:val="24"/>
          <w:szCs w:val="24"/>
          <w:lang w:val="en-US" w:eastAsia="zh-CN"/>
        </w:rPr>
        <w:t xml:space="preserve">27.9 </w:t>
      </w:r>
      <w:r>
        <w:rPr>
          <w:rFonts w:hint="eastAsia" w:ascii="宋体" w:hAnsi="宋体" w:eastAsia="宋体" w:cs="宋体"/>
          <w:sz w:val="24"/>
          <w:szCs w:val="24"/>
        </w:rPr>
        <w:t>最终结清证书和支付</w:t>
      </w:r>
      <w:bookmarkEnd w:id="1038"/>
      <w:bookmarkEnd w:id="1039"/>
      <w:bookmarkEnd w:id="1040"/>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⑴除</w:t>
      </w:r>
      <w:r>
        <w:rPr>
          <w:rFonts w:hint="eastAsia" w:ascii="宋体" w:hAnsi="宋体" w:eastAsia="宋体" w:cs="宋体"/>
          <w:b/>
          <w:i/>
          <w:kern w:val="0"/>
        </w:rPr>
        <w:t>专用条款</w:t>
      </w:r>
      <w:r>
        <w:rPr>
          <w:rFonts w:hint="eastAsia" w:ascii="宋体" w:hAnsi="宋体" w:eastAsia="宋体" w:cs="宋体"/>
          <w:kern w:val="0"/>
        </w:rPr>
        <w:t>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⑵除</w:t>
      </w:r>
      <w:r>
        <w:rPr>
          <w:rFonts w:hint="eastAsia" w:ascii="宋体" w:hAnsi="宋体" w:eastAsia="宋体" w:cs="宋体"/>
          <w:b/>
          <w:i/>
          <w:kern w:val="0"/>
        </w:rPr>
        <w:t>专用条款</w:t>
      </w:r>
      <w:r>
        <w:rPr>
          <w:rFonts w:hint="eastAsia" w:ascii="宋体" w:hAnsi="宋体" w:eastAsia="宋体" w:cs="宋体"/>
          <w:kern w:val="0"/>
        </w:rPr>
        <w:t>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pPr>
        <w:tabs>
          <w:tab w:val="left" w:pos="1620"/>
          <w:tab w:val="left" w:pos="2340"/>
        </w:tabs>
        <w:spacing w:before="156" w:after="156"/>
        <w:ind w:left="899"/>
        <w:jc w:val="left"/>
        <w:rPr>
          <w:rFonts w:hint="eastAsia" w:ascii="宋体" w:hAnsi="宋体" w:eastAsia="宋体" w:cs="宋体"/>
          <w:kern w:val="0"/>
        </w:rPr>
      </w:pPr>
      <w:r>
        <w:rPr>
          <w:rFonts w:hint="eastAsia" w:ascii="宋体" w:hAnsi="宋体" w:eastAsia="宋体" w:cs="宋体"/>
          <w:kern w:val="0"/>
        </w:rPr>
        <w:t>⑶承包人对发包人颁发的最终结清证书有异议的，按第30条〔争议解决〕的约定办理。</w:t>
      </w:r>
    </w:p>
    <w:p>
      <w:pPr>
        <w:pStyle w:val="2"/>
        <w:keepNext w:val="0"/>
        <w:keepLines w:val="0"/>
        <w:widowControl w:val="0"/>
        <w:tabs>
          <w:tab w:val="left" w:pos="720"/>
          <w:tab w:val="left" w:pos="1620"/>
          <w:tab w:val="left" w:pos="2340"/>
        </w:tabs>
        <w:spacing w:before="240" w:after="120"/>
        <w:ind w:left="178" w:firstLine="0"/>
        <w:rPr>
          <w:rFonts w:hint="eastAsia" w:ascii="宋体" w:hAnsi="宋体" w:eastAsia="宋体" w:cs="宋体"/>
        </w:rPr>
      </w:pPr>
      <w:bookmarkStart w:id="1041" w:name="_Toc67418670"/>
      <w:bookmarkStart w:id="1042" w:name="_Toc18557"/>
      <w:bookmarkStart w:id="1043" w:name="_Toc305331395"/>
      <w:bookmarkStart w:id="1044" w:name="_Toc35657001"/>
      <w:bookmarkStart w:id="1045" w:name="_Toc302635894"/>
      <w:bookmarkStart w:id="1046" w:name="_Toc34909133"/>
      <w:bookmarkStart w:id="1047" w:name="_Toc35656499"/>
      <w:r>
        <w:rPr>
          <w:rFonts w:hint="eastAsia" w:ascii="宋体" w:cs="宋体"/>
          <w:lang w:val="en-US" w:eastAsia="zh-CN"/>
        </w:rPr>
        <w:t xml:space="preserve">28 </w:t>
      </w:r>
      <w:r>
        <w:rPr>
          <w:rFonts w:hint="eastAsia" w:ascii="宋体" w:hAnsi="宋体" w:eastAsia="宋体" w:cs="宋体"/>
        </w:rPr>
        <w:t>违约</w:t>
      </w:r>
      <w:bookmarkEnd w:id="1041"/>
      <w:bookmarkEnd w:id="1042"/>
      <w:bookmarkEnd w:id="1043"/>
      <w:bookmarkEnd w:id="1044"/>
      <w:bookmarkEnd w:id="1045"/>
      <w:bookmarkEnd w:id="1046"/>
      <w:bookmarkEnd w:id="1047"/>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048" w:name="_Toc305331396"/>
      <w:bookmarkStart w:id="1049" w:name="_Toc67418671"/>
      <w:bookmarkStart w:id="1050" w:name="_Toc1724"/>
      <w:bookmarkStart w:id="1051" w:name="_Toc302635895"/>
      <w:bookmarkStart w:id="1052" w:name="_Toc34909134"/>
      <w:r>
        <w:rPr>
          <w:rFonts w:hint="eastAsia" w:ascii="宋体" w:hAnsi="宋体" w:cs="宋体"/>
          <w:sz w:val="24"/>
          <w:szCs w:val="24"/>
          <w:lang w:val="en-US" w:eastAsia="zh-CN"/>
        </w:rPr>
        <w:t xml:space="preserve">28.1 </w:t>
      </w:r>
      <w:r>
        <w:rPr>
          <w:rFonts w:hint="eastAsia" w:ascii="宋体" w:hAnsi="宋体" w:eastAsia="宋体" w:cs="宋体"/>
          <w:sz w:val="24"/>
          <w:szCs w:val="24"/>
        </w:rPr>
        <w:t>发包人违约</w:t>
      </w:r>
      <w:bookmarkEnd w:id="1048"/>
      <w:bookmarkEnd w:id="1049"/>
      <w:bookmarkEnd w:id="1050"/>
      <w:bookmarkEnd w:id="1051"/>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发包人不履行合同义务或不按合同约定履行义务，应承担违约责任，赔偿因其违约给承包人造成的损失，顺延延误的工期。当发生下列情况时，发包人应根据</w:t>
      </w:r>
      <w:r>
        <w:rPr>
          <w:rFonts w:hint="eastAsia" w:ascii="宋体" w:hAnsi="宋体" w:eastAsia="宋体" w:cs="宋体"/>
          <w:b/>
          <w:i/>
          <w:kern w:val="0"/>
        </w:rPr>
        <w:t>专用条款</w:t>
      </w:r>
      <w:r>
        <w:rPr>
          <w:rFonts w:hint="eastAsia" w:ascii="宋体" w:hAnsi="宋体" w:eastAsia="宋体" w:cs="宋体"/>
          <w:kern w:val="0"/>
        </w:rPr>
        <w:t>的约定</w:t>
      </w:r>
      <w:bookmarkEnd w:id="1052"/>
      <w:r>
        <w:rPr>
          <w:rFonts w:hint="eastAsia" w:ascii="宋体" w:hAnsi="宋体" w:eastAsia="宋体" w:cs="宋体"/>
          <w:kern w:val="0"/>
        </w:rPr>
        <w:t>承担违约责任。</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⑴因发包人原因未能在计划开工日期前7天内下达开工通知的；</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⑵发包人不按时支付工程预付款、工程进度款、工程竣工结算款；</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⑶发包人提供的材料、工程设备的规格、数量或质量不符合合同约定，或因发包人原因导致交货日期延误或交货地点变更等情况的；</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⑷因发包人违反合同约定造成暂停施工的；</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⑸发包人无正当理由没有在约定期限内发出复工指示，导致承包人无法复工的；</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⑹发包人明确表示或者以其行为表明不履行合同主要义务的；</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⑺发包人未能按照合同约定履行其他义务的。</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053" w:name="_Toc302635896"/>
      <w:bookmarkStart w:id="1054" w:name="_Toc305331397"/>
      <w:bookmarkStart w:id="1055" w:name="_Toc23497"/>
      <w:bookmarkStart w:id="1056" w:name="_Toc67418672"/>
      <w:bookmarkStart w:id="1057" w:name="_Toc34909135"/>
      <w:r>
        <w:rPr>
          <w:rFonts w:hint="eastAsia" w:ascii="宋体" w:hAnsi="宋体" w:cs="宋体"/>
          <w:sz w:val="24"/>
          <w:szCs w:val="24"/>
          <w:lang w:val="en-US" w:eastAsia="zh-CN"/>
        </w:rPr>
        <w:t xml:space="preserve">28.2 </w:t>
      </w:r>
      <w:r>
        <w:rPr>
          <w:rFonts w:hint="eastAsia" w:ascii="宋体" w:hAnsi="宋体" w:eastAsia="宋体" w:cs="宋体"/>
          <w:sz w:val="24"/>
          <w:szCs w:val="24"/>
        </w:rPr>
        <w:t>承包人违约</w:t>
      </w:r>
      <w:bookmarkEnd w:id="1053"/>
      <w:bookmarkEnd w:id="1054"/>
      <w:bookmarkEnd w:id="1055"/>
      <w:bookmarkEnd w:id="1056"/>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承包人不履行合同义务或不按合同约定履行义务，应承担违约责任，赔偿因其违约给发包人造成的损失。当发生下列情况时，承包人应根据</w:t>
      </w:r>
      <w:r>
        <w:rPr>
          <w:rFonts w:hint="eastAsia" w:ascii="宋体" w:hAnsi="宋体" w:eastAsia="宋体" w:cs="宋体"/>
          <w:b/>
          <w:i/>
          <w:kern w:val="0"/>
        </w:rPr>
        <w:t>专用条款</w:t>
      </w:r>
      <w:r>
        <w:rPr>
          <w:rFonts w:hint="eastAsia" w:ascii="宋体" w:hAnsi="宋体" w:eastAsia="宋体" w:cs="宋体"/>
          <w:kern w:val="0"/>
        </w:rPr>
        <w:t>的约定</w:t>
      </w:r>
      <w:bookmarkEnd w:id="1057"/>
      <w:r>
        <w:rPr>
          <w:rFonts w:hint="eastAsia" w:ascii="宋体" w:hAnsi="宋体" w:eastAsia="宋体" w:cs="宋体"/>
          <w:kern w:val="0"/>
        </w:rPr>
        <w:t>承担违约责任。</w:t>
      </w:r>
    </w:p>
    <w:p>
      <w:pPr>
        <w:tabs>
          <w:tab w:val="left" w:pos="1620"/>
          <w:tab w:val="left" w:pos="2340"/>
        </w:tabs>
        <w:ind w:left="1079"/>
        <w:jc w:val="left"/>
        <w:rPr>
          <w:rFonts w:hint="eastAsia" w:ascii="宋体" w:hAnsi="宋体" w:eastAsia="宋体" w:cs="宋体"/>
          <w:bCs/>
        </w:rPr>
      </w:pPr>
      <w:r>
        <w:rPr>
          <w:rFonts w:hint="eastAsia" w:ascii="宋体" w:hAnsi="宋体" w:eastAsia="宋体" w:cs="宋体"/>
          <w:kern w:val="0"/>
        </w:rPr>
        <w:t>⑴</w:t>
      </w:r>
      <w:r>
        <w:rPr>
          <w:rFonts w:hint="eastAsia" w:ascii="宋体" w:hAnsi="宋体" w:eastAsia="宋体" w:cs="宋体"/>
          <w:bCs/>
        </w:rPr>
        <w:t>承包人违反合同约定进行转包或违法分包的；</w:t>
      </w:r>
    </w:p>
    <w:p>
      <w:pPr>
        <w:tabs>
          <w:tab w:val="left" w:pos="1620"/>
          <w:tab w:val="left" w:pos="2340"/>
        </w:tabs>
        <w:ind w:left="1079"/>
        <w:jc w:val="left"/>
        <w:rPr>
          <w:rFonts w:hint="eastAsia" w:ascii="宋体" w:hAnsi="宋体" w:eastAsia="宋体" w:cs="宋体"/>
          <w:bCs/>
        </w:rPr>
      </w:pPr>
      <w:r>
        <w:rPr>
          <w:rFonts w:hint="eastAsia" w:ascii="宋体" w:hAnsi="宋体" w:eastAsia="宋体" w:cs="宋体"/>
          <w:kern w:val="0"/>
        </w:rPr>
        <w:t>⑵</w:t>
      </w:r>
      <w:r>
        <w:rPr>
          <w:rFonts w:hint="eastAsia" w:ascii="宋体" w:hAnsi="宋体" w:eastAsia="宋体" w:cs="宋体"/>
          <w:bCs/>
        </w:rPr>
        <w:t>承包人违反合同约定采购和使用不合格的材料和工程设备的；</w:t>
      </w:r>
    </w:p>
    <w:p>
      <w:pPr>
        <w:tabs>
          <w:tab w:val="left" w:pos="1620"/>
          <w:tab w:val="left" w:pos="2340"/>
        </w:tabs>
        <w:ind w:left="1079"/>
        <w:jc w:val="left"/>
        <w:rPr>
          <w:rFonts w:hint="eastAsia" w:ascii="宋体" w:hAnsi="宋体" w:eastAsia="宋体" w:cs="宋体"/>
          <w:bCs/>
        </w:rPr>
      </w:pPr>
      <w:r>
        <w:rPr>
          <w:rFonts w:hint="eastAsia" w:ascii="宋体" w:hAnsi="宋体" w:eastAsia="宋体" w:cs="宋体"/>
          <w:kern w:val="0"/>
        </w:rPr>
        <w:t>⑶</w:t>
      </w:r>
      <w:r>
        <w:rPr>
          <w:rFonts w:hint="eastAsia" w:ascii="宋体" w:hAnsi="宋体" w:eastAsia="宋体" w:cs="宋体"/>
          <w:bCs/>
        </w:rPr>
        <w:t xml:space="preserve">因承包人原因导致工程质量不符合合同要求的； </w:t>
      </w:r>
    </w:p>
    <w:p>
      <w:pPr>
        <w:tabs>
          <w:tab w:val="left" w:pos="1620"/>
          <w:tab w:val="left" w:pos="2340"/>
        </w:tabs>
        <w:ind w:left="1079"/>
        <w:jc w:val="left"/>
        <w:rPr>
          <w:rFonts w:hint="eastAsia" w:ascii="宋体" w:hAnsi="宋体" w:eastAsia="宋体" w:cs="宋体"/>
          <w:bCs/>
        </w:rPr>
      </w:pPr>
      <w:r>
        <w:rPr>
          <w:rFonts w:hint="eastAsia" w:ascii="宋体" w:hAnsi="宋体" w:eastAsia="宋体" w:cs="宋体"/>
          <w:kern w:val="0"/>
        </w:rPr>
        <w:t>⑷</w:t>
      </w:r>
      <w:r>
        <w:rPr>
          <w:rFonts w:hint="eastAsia" w:ascii="宋体" w:hAnsi="宋体" w:eastAsia="宋体" w:cs="宋体"/>
          <w:bCs/>
        </w:rPr>
        <w:t>承包人未经批准，私自将已按照合同约定进入施工现场的材料或设备撤离施工现场的；</w:t>
      </w:r>
    </w:p>
    <w:p>
      <w:pPr>
        <w:tabs>
          <w:tab w:val="left" w:pos="1620"/>
          <w:tab w:val="left" w:pos="2340"/>
        </w:tabs>
        <w:ind w:left="1079"/>
        <w:jc w:val="left"/>
        <w:rPr>
          <w:rFonts w:hint="eastAsia" w:ascii="宋体" w:hAnsi="宋体" w:eastAsia="宋体" w:cs="宋体"/>
          <w:bCs/>
        </w:rPr>
      </w:pPr>
      <w:r>
        <w:rPr>
          <w:rFonts w:hint="eastAsia" w:ascii="宋体" w:hAnsi="宋体" w:eastAsia="宋体" w:cs="宋体"/>
          <w:kern w:val="0"/>
        </w:rPr>
        <w:t>⑸</w:t>
      </w:r>
      <w:r>
        <w:rPr>
          <w:rFonts w:hint="eastAsia" w:ascii="宋体" w:hAnsi="宋体" w:eastAsia="宋体" w:cs="宋体"/>
          <w:bCs/>
        </w:rPr>
        <w:t>承包人未能按施工进度计划及时完成合同约定的工作，造成工期延误的；</w:t>
      </w:r>
    </w:p>
    <w:p>
      <w:pPr>
        <w:tabs>
          <w:tab w:val="left" w:pos="1620"/>
          <w:tab w:val="left" w:pos="2340"/>
        </w:tabs>
        <w:ind w:left="1079"/>
        <w:jc w:val="left"/>
        <w:rPr>
          <w:rFonts w:hint="eastAsia" w:ascii="宋体" w:hAnsi="宋体" w:eastAsia="宋体" w:cs="宋体"/>
          <w:bCs/>
        </w:rPr>
      </w:pPr>
      <w:r>
        <w:rPr>
          <w:rFonts w:hint="eastAsia" w:ascii="宋体" w:hAnsi="宋体" w:eastAsia="宋体" w:cs="宋体"/>
          <w:kern w:val="0"/>
        </w:rPr>
        <w:t>⑹</w:t>
      </w:r>
      <w:r>
        <w:rPr>
          <w:rFonts w:hint="eastAsia" w:ascii="宋体" w:hAnsi="宋体" w:eastAsia="宋体" w:cs="宋体"/>
          <w:bCs/>
        </w:rPr>
        <w:t>承包人在缺陷责任期及保修期内，未能在合理期限对工程缺陷进行修复，或拒绝按发包人要求进行修复的；</w:t>
      </w:r>
    </w:p>
    <w:p>
      <w:pPr>
        <w:tabs>
          <w:tab w:val="left" w:pos="1620"/>
          <w:tab w:val="left" w:pos="2340"/>
        </w:tabs>
        <w:ind w:left="1079"/>
        <w:jc w:val="left"/>
        <w:rPr>
          <w:rFonts w:hint="eastAsia" w:ascii="宋体" w:hAnsi="宋体" w:eastAsia="宋体" w:cs="宋体"/>
          <w:bCs/>
        </w:rPr>
      </w:pPr>
      <w:r>
        <w:rPr>
          <w:rFonts w:hint="eastAsia" w:ascii="宋体" w:hAnsi="宋体" w:eastAsia="宋体" w:cs="宋体"/>
          <w:kern w:val="0"/>
        </w:rPr>
        <w:t>⑺</w:t>
      </w:r>
      <w:r>
        <w:rPr>
          <w:rFonts w:hint="eastAsia" w:ascii="宋体" w:hAnsi="宋体" w:eastAsia="宋体" w:cs="宋体"/>
          <w:bCs/>
        </w:rPr>
        <w:t>承包人明确表示或者以其行为表明不履行合同主要义务的；</w:t>
      </w:r>
    </w:p>
    <w:p>
      <w:pPr>
        <w:tabs>
          <w:tab w:val="left" w:pos="1620"/>
          <w:tab w:val="left" w:pos="2340"/>
        </w:tabs>
        <w:ind w:left="1079"/>
        <w:jc w:val="left"/>
        <w:rPr>
          <w:rFonts w:hint="eastAsia" w:ascii="宋体" w:hAnsi="宋体" w:eastAsia="宋体" w:cs="宋体"/>
          <w:bCs/>
        </w:rPr>
      </w:pPr>
      <w:r>
        <w:rPr>
          <w:rFonts w:hint="eastAsia" w:ascii="宋体" w:hAnsi="宋体" w:eastAsia="宋体" w:cs="宋体"/>
          <w:kern w:val="0"/>
        </w:rPr>
        <w:t>⑻</w:t>
      </w:r>
      <w:r>
        <w:rPr>
          <w:rFonts w:hint="eastAsia" w:ascii="宋体" w:hAnsi="宋体" w:eastAsia="宋体" w:cs="宋体"/>
          <w:bCs/>
        </w:rPr>
        <w:t>承包人未能按照合同约定履行其他义务的。</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058" w:name="_Toc4410"/>
      <w:bookmarkStart w:id="1059" w:name="_Toc302635897"/>
      <w:bookmarkStart w:id="1060" w:name="_Toc67418673"/>
      <w:r>
        <w:rPr>
          <w:rFonts w:hint="eastAsia" w:ascii="宋体" w:hAnsi="宋体" w:cs="宋体"/>
          <w:sz w:val="24"/>
          <w:szCs w:val="24"/>
          <w:lang w:val="en-US" w:eastAsia="zh-CN"/>
        </w:rPr>
        <w:t xml:space="preserve">28.3 </w:t>
      </w:r>
      <w:r>
        <w:rPr>
          <w:rFonts w:hint="eastAsia" w:ascii="宋体" w:hAnsi="宋体" w:eastAsia="宋体" w:cs="宋体"/>
          <w:sz w:val="24"/>
          <w:szCs w:val="24"/>
        </w:rPr>
        <w:t>第三人造成的违约</w:t>
      </w:r>
      <w:bookmarkEnd w:id="1058"/>
      <w:bookmarkEnd w:id="1059"/>
      <w:bookmarkEnd w:id="1060"/>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在履行合同过程中，发包人或承包人一方因第三人的原因造成违约的，应当向对方承担违约责任。发包人或承包人一方和第三人之间的纠纷，依照相关法律规定解决。</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061" w:name="_Toc302635898"/>
      <w:bookmarkStart w:id="1062" w:name="_Toc26449"/>
      <w:bookmarkStart w:id="1063" w:name="_Toc305331398"/>
      <w:bookmarkStart w:id="1064" w:name="_Toc67418674"/>
      <w:bookmarkStart w:id="1065" w:name="_Toc34909136"/>
      <w:r>
        <w:rPr>
          <w:rFonts w:hint="eastAsia" w:ascii="宋体" w:hAnsi="宋体" w:cs="宋体"/>
          <w:sz w:val="24"/>
          <w:szCs w:val="24"/>
          <w:lang w:val="en-US" w:eastAsia="zh-CN"/>
        </w:rPr>
        <w:t xml:space="preserve">28.4 </w:t>
      </w:r>
      <w:r>
        <w:rPr>
          <w:rFonts w:hint="eastAsia" w:ascii="宋体" w:hAnsi="宋体" w:eastAsia="宋体" w:cs="宋体"/>
          <w:sz w:val="24"/>
          <w:szCs w:val="24"/>
        </w:rPr>
        <w:t>继续履行合同</w:t>
      </w:r>
      <w:bookmarkEnd w:id="1061"/>
      <w:bookmarkEnd w:id="1062"/>
      <w:bookmarkEnd w:id="1063"/>
      <w:bookmarkEnd w:id="1064"/>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除非另有约定，发包人和承包人一方违约后，另一方要求违约方继续履行本合同时，违约方承担上述违约责任后仍应继续履行合同。</w:t>
      </w:r>
      <w:bookmarkEnd w:id="1065"/>
    </w:p>
    <w:p>
      <w:pPr>
        <w:pStyle w:val="2"/>
        <w:keepNext w:val="0"/>
        <w:keepLines w:val="0"/>
        <w:widowControl w:val="0"/>
        <w:tabs>
          <w:tab w:val="left" w:pos="720"/>
          <w:tab w:val="left" w:pos="1620"/>
          <w:tab w:val="left" w:pos="2340"/>
        </w:tabs>
        <w:spacing w:before="240" w:after="120"/>
        <w:ind w:left="178" w:firstLine="0"/>
        <w:rPr>
          <w:rFonts w:hint="eastAsia" w:ascii="宋体" w:hAnsi="宋体" w:eastAsia="宋体" w:cs="宋体"/>
        </w:rPr>
      </w:pPr>
      <w:bookmarkStart w:id="1066" w:name="_Toc35656500"/>
      <w:bookmarkStart w:id="1067" w:name="_Toc34909137"/>
      <w:bookmarkStart w:id="1068" w:name="_Toc67418675"/>
      <w:bookmarkStart w:id="1069" w:name="_Toc1341"/>
      <w:bookmarkStart w:id="1070" w:name="_Toc35657002"/>
      <w:bookmarkStart w:id="1071" w:name="_Toc305331399"/>
      <w:bookmarkStart w:id="1072" w:name="_Toc302635899"/>
      <w:r>
        <w:rPr>
          <w:rFonts w:hint="eastAsia" w:ascii="宋体" w:cs="宋体"/>
          <w:lang w:val="en-US" w:eastAsia="zh-CN"/>
        </w:rPr>
        <w:t xml:space="preserve">29 </w:t>
      </w:r>
      <w:r>
        <w:rPr>
          <w:rFonts w:hint="eastAsia" w:ascii="宋体" w:hAnsi="宋体" w:eastAsia="宋体" w:cs="宋体"/>
        </w:rPr>
        <w:t>索赔</w:t>
      </w:r>
      <w:bookmarkEnd w:id="1066"/>
      <w:bookmarkEnd w:id="1067"/>
      <w:bookmarkEnd w:id="1068"/>
      <w:bookmarkEnd w:id="1069"/>
      <w:bookmarkEnd w:id="1070"/>
      <w:bookmarkEnd w:id="1071"/>
      <w:bookmarkEnd w:id="1072"/>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073" w:name="_Toc147"/>
      <w:bookmarkStart w:id="1074" w:name="_Toc67418676"/>
      <w:bookmarkStart w:id="1075" w:name="_Toc305331400"/>
      <w:bookmarkStart w:id="1076" w:name="_Toc302635900"/>
      <w:bookmarkStart w:id="1077" w:name="_Toc34909138"/>
      <w:r>
        <w:rPr>
          <w:rFonts w:hint="eastAsia" w:ascii="宋体" w:hAnsi="宋体" w:cs="宋体"/>
          <w:sz w:val="24"/>
          <w:szCs w:val="24"/>
          <w:lang w:val="en-US" w:eastAsia="zh-CN"/>
        </w:rPr>
        <w:t xml:space="preserve">29.1 </w:t>
      </w:r>
      <w:r>
        <w:rPr>
          <w:rFonts w:hint="eastAsia" w:ascii="宋体" w:hAnsi="宋体" w:eastAsia="宋体" w:cs="宋体"/>
          <w:sz w:val="24"/>
          <w:szCs w:val="24"/>
        </w:rPr>
        <w:t>索赔理由与记录</w:t>
      </w:r>
      <w:bookmarkEnd w:id="1073"/>
      <w:bookmarkEnd w:id="1074"/>
      <w:bookmarkEnd w:id="1075"/>
      <w:bookmarkEnd w:id="1076"/>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⑴发包人和承包人双方中，</w:t>
      </w:r>
      <w:bookmarkEnd w:id="1077"/>
      <w:r>
        <w:rPr>
          <w:rFonts w:hint="eastAsia" w:ascii="宋体" w:hAnsi="宋体" w:eastAsia="宋体" w:cs="宋体"/>
          <w:kern w:val="0"/>
        </w:rPr>
        <w:t>当一方向另一方提出索赔时，要有合理的索赔理由，且有其要求索赔的事件发生时的有效证据。</w:t>
      </w:r>
    </w:p>
    <w:p>
      <w:pPr>
        <w:tabs>
          <w:tab w:val="left" w:pos="1620"/>
          <w:tab w:val="left" w:pos="2340"/>
        </w:tabs>
        <w:spacing w:after="156"/>
        <w:ind w:left="899"/>
        <w:jc w:val="left"/>
        <w:rPr>
          <w:rFonts w:hint="eastAsia" w:ascii="宋体" w:hAnsi="宋体" w:eastAsia="宋体" w:cs="宋体"/>
          <w:kern w:val="0"/>
        </w:rPr>
      </w:pPr>
      <w:bookmarkStart w:id="1078" w:name="_Toc34909139"/>
      <w:r>
        <w:rPr>
          <w:rFonts w:hint="eastAsia" w:ascii="宋体" w:hAnsi="宋体" w:eastAsia="宋体" w:cs="宋体"/>
          <w:kern w:val="0"/>
        </w:rPr>
        <w:t>⑵提出索赔的一方在其要求索赔的事件发生时，应保存好必要的记录，以便证明提出的索赔，并应允许另一方或监理人查阅全部记录。</w:t>
      </w:r>
      <w:bookmarkEnd w:id="1078"/>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079" w:name="_Toc302635901"/>
      <w:bookmarkStart w:id="1080" w:name="_Toc67418677"/>
      <w:bookmarkStart w:id="1081" w:name="_Toc11823"/>
      <w:bookmarkStart w:id="1082" w:name="_Toc305331401"/>
      <w:bookmarkStart w:id="1083" w:name="_Toc34909140"/>
      <w:r>
        <w:rPr>
          <w:rFonts w:hint="eastAsia" w:ascii="宋体" w:hAnsi="宋体" w:cs="宋体"/>
          <w:sz w:val="24"/>
          <w:szCs w:val="24"/>
          <w:lang w:val="en-US" w:eastAsia="zh-CN"/>
        </w:rPr>
        <w:t xml:space="preserve">29.2 </w:t>
      </w:r>
      <w:r>
        <w:rPr>
          <w:rFonts w:hint="eastAsia" w:ascii="宋体" w:hAnsi="宋体" w:eastAsia="宋体" w:cs="宋体"/>
          <w:sz w:val="24"/>
          <w:szCs w:val="24"/>
        </w:rPr>
        <w:t>索赔</w:t>
      </w:r>
      <w:bookmarkEnd w:id="1079"/>
      <w:r>
        <w:rPr>
          <w:rFonts w:hint="eastAsia" w:ascii="宋体" w:hAnsi="宋体" w:eastAsia="宋体" w:cs="宋体"/>
          <w:sz w:val="24"/>
          <w:szCs w:val="24"/>
        </w:rPr>
        <w:t>内容</w:t>
      </w:r>
      <w:bookmarkEnd w:id="1080"/>
      <w:bookmarkEnd w:id="1081"/>
    </w:p>
    <w:p>
      <w:pPr>
        <w:tabs>
          <w:tab w:val="left" w:pos="1620"/>
          <w:tab w:val="left" w:pos="2340"/>
        </w:tabs>
        <w:spacing w:before="156"/>
        <w:ind w:left="899"/>
        <w:jc w:val="left"/>
        <w:rPr>
          <w:rFonts w:hint="eastAsia" w:ascii="宋体" w:hAnsi="宋体" w:eastAsia="宋体" w:cs="宋体"/>
          <w:kern w:val="0"/>
        </w:rPr>
      </w:pPr>
      <w:r>
        <w:rPr>
          <w:rFonts w:hint="eastAsia" w:ascii="宋体" w:hAnsi="宋体" w:eastAsia="宋体" w:cs="宋体"/>
          <w:kern w:val="0"/>
        </w:rPr>
        <w:t>⑴发包人提出索赔时，可选择下列一项或几项方式获得赔偿：</w:t>
      </w:r>
    </w:p>
    <w:p>
      <w:pPr>
        <w:tabs>
          <w:tab w:val="left" w:pos="1620"/>
          <w:tab w:val="left" w:pos="2340"/>
        </w:tabs>
        <w:ind w:left="1134"/>
        <w:jc w:val="left"/>
        <w:rPr>
          <w:rFonts w:hint="eastAsia" w:ascii="宋体" w:hAnsi="宋体" w:eastAsia="宋体" w:cs="宋体"/>
          <w:kern w:val="0"/>
        </w:rPr>
      </w:pPr>
      <w:r>
        <w:rPr>
          <w:rFonts w:hint="eastAsia" w:ascii="宋体" w:hAnsi="宋体" w:eastAsia="宋体" w:cs="宋体"/>
          <w:kern w:val="0"/>
        </w:rPr>
        <w:t>①延长质量缺陷修复期限；</w:t>
      </w:r>
    </w:p>
    <w:p>
      <w:pPr>
        <w:tabs>
          <w:tab w:val="left" w:pos="1620"/>
          <w:tab w:val="left" w:pos="2340"/>
        </w:tabs>
        <w:ind w:left="1134"/>
        <w:jc w:val="left"/>
        <w:rPr>
          <w:rFonts w:hint="eastAsia" w:ascii="宋体" w:hAnsi="宋体" w:eastAsia="宋体" w:cs="宋体"/>
          <w:kern w:val="0"/>
        </w:rPr>
      </w:pPr>
      <w:r>
        <w:rPr>
          <w:rFonts w:hint="eastAsia" w:ascii="宋体" w:hAnsi="宋体" w:eastAsia="宋体" w:cs="宋体"/>
          <w:kern w:val="0"/>
        </w:rPr>
        <w:t>②要求承包人支付实际发生的额外费用；</w:t>
      </w:r>
    </w:p>
    <w:p>
      <w:pPr>
        <w:tabs>
          <w:tab w:val="left" w:pos="1620"/>
          <w:tab w:val="left" w:pos="2340"/>
        </w:tabs>
        <w:ind w:left="1134"/>
        <w:jc w:val="left"/>
        <w:rPr>
          <w:rFonts w:hint="eastAsia" w:ascii="宋体" w:hAnsi="宋体" w:eastAsia="宋体" w:cs="宋体"/>
          <w:kern w:val="0"/>
        </w:rPr>
      </w:pPr>
      <w:r>
        <w:rPr>
          <w:rFonts w:hint="eastAsia" w:ascii="宋体" w:hAnsi="宋体" w:eastAsia="宋体" w:cs="宋体"/>
          <w:kern w:val="0"/>
        </w:rPr>
        <w:t>③要求承包人支付合同约定的违约金。</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⑵承包人提出索赔时，可选择下列一项或几项方式获得赔偿：</w:t>
      </w:r>
    </w:p>
    <w:p>
      <w:pPr>
        <w:tabs>
          <w:tab w:val="left" w:pos="1620"/>
          <w:tab w:val="left" w:pos="2340"/>
        </w:tabs>
        <w:ind w:left="1134"/>
        <w:jc w:val="left"/>
        <w:rPr>
          <w:rFonts w:hint="eastAsia" w:ascii="宋体" w:hAnsi="宋体" w:eastAsia="宋体" w:cs="宋体"/>
          <w:kern w:val="0"/>
        </w:rPr>
      </w:pPr>
      <w:r>
        <w:rPr>
          <w:rFonts w:hint="eastAsia" w:ascii="宋体" w:hAnsi="宋体" w:eastAsia="宋体" w:cs="宋体"/>
          <w:kern w:val="0"/>
        </w:rPr>
        <w:t>①延长工期；</w:t>
      </w:r>
    </w:p>
    <w:p>
      <w:pPr>
        <w:tabs>
          <w:tab w:val="left" w:pos="1620"/>
          <w:tab w:val="left" w:pos="2340"/>
        </w:tabs>
        <w:ind w:left="1134"/>
        <w:jc w:val="left"/>
        <w:rPr>
          <w:rFonts w:hint="eastAsia" w:ascii="宋体" w:hAnsi="宋体" w:eastAsia="宋体" w:cs="宋体"/>
          <w:kern w:val="0"/>
        </w:rPr>
      </w:pPr>
      <w:r>
        <w:rPr>
          <w:rFonts w:hint="eastAsia" w:ascii="宋体" w:hAnsi="宋体" w:eastAsia="宋体" w:cs="宋体"/>
          <w:kern w:val="0"/>
        </w:rPr>
        <w:t>②要求发包人支付实际发生的额外费用；</w:t>
      </w:r>
    </w:p>
    <w:p>
      <w:pPr>
        <w:tabs>
          <w:tab w:val="left" w:pos="1620"/>
          <w:tab w:val="left" w:pos="2340"/>
        </w:tabs>
        <w:ind w:left="1134"/>
        <w:jc w:val="left"/>
        <w:rPr>
          <w:rFonts w:hint="eastAsia" w:ascii="宋体" w:hAnsi="宋体" w:eastAsia="宋体" w:cs="宋体"/>
          <w:kern w:val="0"/>
        </w:rPr>
      </w:pPr>
      <w:r>
        <w:rPr>
          <w:rFonts w:hint="eastAsia" w:ascii="宋体" w:hAnsi="宋体" w:eastAsia="宋体" w:cs="宋体"/>
          <w:kern w:val="0"/>
        </w:rPr>
        <w:t xml:space="preserve">③要求发包人支付合理的预期利润； </w:t>
      </w:r>
    </w:p>
    <w:p>
      <w:pPr>
        <w:tabs>
          <w:tab w:val="left" w:pos="1620"/>
          <w:tab w:val="left" w:pos="2340"/>
        </w:tabs>
        <w:ind w:left="1134"/>
        <w:jc w:val="left"/>
        <w:rPr>
          <w:rFonts w:hint="eastAsia" w:ascii="宋体" w:hAnsi="宋体" w:eastAsia="宋体" w:cs="宋体"/>
          <w:kern w:val="0"/>
        </w:rPr>
      </w:pPr>
      <w:r>
        <w:rPr>
          <w:rFonts w:hint="eastAsia" w:ascii="宋体" w:hAnsi="宋体" w:eastAsia="宋体" w:cs="宋体"/>
          <w:kern w:val="0"/>
        </w:rPr>
        <w:t>④要求发包人支付合同约定的违约金。</w:t>
      </w:r>
    </w:p>
    <w:bookmarkEnd w:id="1082"/>
    <w:bookmarkEnd w:id="1083"/>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084" w:name="_Toc67418678"/>
      <w:bookmarkStart w:id="1085" w:name="_Toc10670"/>
      <w:bookmarkStart w:id="1086" w:name="_Toc305331402"/>
      <w:bookmarkStart w:id="1087" w:name="_Toc302635903"/>
      <w:bookmarkStart w:id="1088" w:name="_Toc34909143"/>
      <w:bookmarkStart w:id="1089" w:name="_Toc34909142"/>
      <w:r>
        <w:rPr>
          <w:rFonts w:hint="eastAsia" w:ascii="宋体" w:hAnsi="宋体" w:cs="宋体"/>
          <w:sz w:val="24"/>
          <w:szCs w:val="24"/>
          <w:lang w:val="en-US" w:eastAsia="zh-CN"/>
        </w:rPr>
        <w:t xml:space="preserve">29.3 </w:t>
      </w:r>
      <w:r>
        <w:rPr>
          <w:rFonts w:hint="eastAsia" w:ascii="宋体" w:hAnsi="宋体" w:eastAsia="宋体" w:cs="宋体"/>
          <w:sz w:val="24"/>
          <w:szCs w:val="24"/>
        </w:rPr>
        <w:t>发包人索赔情形</w:t>
      </w:r>
      <w:bookmarkEnd w:id="1084"/>
      <w:bookmarkEnd w:id="1085"/>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在施工合同履行过程中发生下列情形之一的，发包人可向承包人提出索赔：</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⑴承包人使用的设备和材料不符合合同规定，或施工质量不符合施工技术规程的要求；</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⑵由于承包人原因导致工期延误；</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⑶工程竣工验收合格后，因承包人原因导致的缺陷或损坏致使工程、单位工程或某项主要设备不能按原定目的使用；</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⑷</w:t>
      </w:r>
      <w:r>
        <w:rPr>
          <w:rFonts w:hint="eastAsia" w:ascii="宋体" w:hAnsi="宋体" w:eastAsia="宋体" w:cs="宋体"/>
          <w:b/>
          <w:i/>
          <w:kern w:val="0"/>
        </w:rPr>
        <w:t>专用条款</w:t>
      </w:r>
      <w:r>
        <w:rPr>
          <w:rFonts w:hint="eastAsia" w:ascii="宋体" w:hAnsi="宋体" w:eastAsia="宋体" w:cs="宋体"/>
          <w:kern w:val="0"/>
        </w:rPr>
        <w:t>中约定的其他情形。</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090" w:name="_Toc16552"/>
      <w:bookmarkStart w:id="1091" w:name="_Toc67418679"/>
      <w:r>
        <w:rPr>
          <w:rFonts w:hint="eastAsia" w:ascii="宋体" w:hAnsi="宋体" w:cs="宋体"/>
          <w:sz w:val="24"/>
          <w:szCs w:val="24"/>
          <w:lang w:val="en-US" w:eastAsia="zh-CN"/>
        </w:rPr>
        <w:t xml:space="preserve">29.4 </w:t>
      </w:r>
      <w:r>
        <w:rPr>
          <w:rFonts w:hint="eastAsia" w:ascii="宋体" w:hAnsi="宋体" w:eastAsia="宋体" w:cs="宋体"/>
          <w:sz w:val="24"/>
          <w:szCs w:val="24"/>
        </w:rPr>
        <w:t>发包人索赔程序</w:t>
      </w:r>
      <w:bookmarkEnd w:id="1086"/>
      <w:bookmarkEnd w:id="1087"/>
      <w:bookmarkEnd w:id="1090"/>
      <w:bookmarkEnd w:id="1091"/>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承包人未能按合同约定履行义务、发生错误以及应由承包人承担责任的其他情况，给发包人造成损失的，发包人可按下列程序向承包人提出索赔</w:t>
      </w:r>
      <w:bookmarkEnd w:id="1088"/>
      <w:r>
        <w:rPr>
          <w:rFonts w:hint="eastAsia" w:ascii="宋体" w:hAnsi="宋体" w:eastAsia="宋体" w:cs="宋体"/>
          <w:kern w:val="0"/>
        </w:rPr>
        <w:t>：</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⑴索赔的事件发生后28天内，向承包人提出索赔意向通知。逾期不提出的，视为放弃索赔；</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⑵在提出索赔意向通知后28天内，向承包人提出赔偿损失的索赔报告及有关资料；</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⑶承包人在收到发包人提交的索赔报告和有关资料后，于28天内给予答复，或要求发包人进一步补充索赔理由和证据；</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⑷承包人在收到发包人提交的索赔报告和有关资料后28天内未予答复或未对发包人作进一步要求，视为该项索赔已被认可；</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⑸当索赔事件持续进行时，发包人应阶段性向承包人提出索赔意向通知，在该事件终了后28天内，向承包人提交索赔的有关资料和最终索赔报告。索赔答复程序与第29.6⑶、⑷项约定相同。</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⑹承包人接受索赔处理结果的，发包人可从应支付给承包人的合同价款中扣除赔付的金额或延长缺陷责任期；发包人不接受索赔处理结果的，按第30条〔争议解决〕约定处理。</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092" w:name="_Toc67418680"/>
      <w:bookmarkStart w:id="1093" w:name="_Toc23557"/>
      <w:bookmarkStart w:id="1094" w:name="_Toc302635902"/>
      <w:bookmarkStart w:id="1095" w:name="_Toc302635904"/>
      <w:bookmarkStart w:id="1096" w:name="_Toc305331403"/>
      <w:r>
        <w:rPr>
          <w:rFonts w:hint="eastAsia" w:ascii="宋体" w:hAnsi="宋体" w:cs="宋体"/>
          <w:sz w:val="24"/>
          <w:szCs w:val="24"/>
          <w:lang w:val="en-US" w:eastAsia="zh-CN"/>
        </w:rPr>
        <w:t xml:space="preserve">29.5 </w:t>
      </w:r>
      <w:r>
        <w:rPr>
          <w:rFonts w:hint="eastAsia" w:ascii="宋体" w:hAnsi="宋体" w:eastAsia="宋体" w:cs="宋体"/>
          <w:sz w:val="24"/>
          <w:szCs w:val="24"/>
        </w:rPr>
        <w:t>承包人索赔情形</w:t>
      </w:r>
      <w:bookmarkEnd w:id="1092"/>
      <w:bookmarkEnd w:id="1093"/>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在施工合同履行过程中发生下列情形之一的，承包人可向发包人提出索赔：</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fldChar w:fldCharType="begin"/>
      </w:r>
      <w:r>
        <w:rPr>
          <w:rFonts w:hint="eastAsia" w:ascii="宋体" w:hAnsi="宋体" w:eastAsia="宋体" w:cs="宋体"/>
          <w:kern w:val="0"/>
        </w:rPr>
        <w:instrText xml:space="preserve"> = 1 \* GB2 </w:instrText>
      </w:r>
      <w:r>
        <w:rPr>
          <w:rFonts w:hint="eastAsia" w:ascii="宋体" w:hAnsi="宋体" w:eastAsia="宋体" w:cs="宋体"/>
          <w:kern w:val="0"/>
        </w:rPr>
        <w:fldChar w:fldCharType="separate"/>
      </w:r>
      <w:r>
        <w:rPr>
          <w:rFonts w:hint="eastAsia" w:ascii="宋体" w:hAnsi="宋体" w:eastAsia="宋体" w:cs="宋体"/>
          <w:kern w:val="0"/>
        </w:rPr>
        <w:t>⑴</w:t>
      </w:r>
      <w:r>
        <w:rPr>
          <w:rFonts w:hint="eastAsia" w:ascii="宋体" w:hAnsi="宋体" w:eastAsia="宋体" w:cs="宋体"/>
          <w:kern w:val="0"/>
        </w:rPr>
        <w:fldChar w:fldCharType="end"/>
      </w:r>
      <w:r>
        <w:rPr>
          <w:rFonts w:hint="eastAsia" w:ascii="宋体" w:hAnsi="宋体" w:eastAsia="宋体" w:cs="宋体"/>
          <w:kern w:val="0"/>
        </w:rPr>
        <w:t>发包人未能按合同约定提供图纸或所提供图纸不符合合同约定的；</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fldChar w:fldCharType="begin"/>
      </w:r>
      <w:r>
        <w:rPr>
          <w:rFonts w:hint="eastAsia" w:ascii="宋体" w:hAnsi="宋体" w:eastAsia="宋体" w:cs="宋体"/>
          <w:kern w:val="0"/>
        </w:rPr>
        <w:instrText xml:space="preserve"> = 2 \* GB2 </w:instrText>
      </w:r>
      <w:r>
        <w:rPr>
          <w:rFonts w:hint="eastAsia" w:ascii="宋体" w:hAnsi="宋体" w:eastAsia="宋体" w:cs="宋体"/>
          <w:kern w:val="0"/>
        </w:rPr>
        <w:fldChar w:fldCharType="separate"/>
      </w:r>
      <w:r>
        <w:rPr>
          <w:rFonts w:hint="eastAsia" w:ascii="宋体" w:hAnsi="宋体" w:eastAsia="宋体" w:cs="宋体"/>
          <w:kern w:val="0"/>
        </w:rPr>
        <w:t>⑵</w:t>
      </w:r>
      <w:r>
        <w:rPr>
          <w:rFonts w:hint="eastAsia" w:ascii="宋体" w:hAnsi="宋体" w:eastAsia="宋体" w:cs="宋体"/>
          <w:kern w:val="0"/>
        </w:rPr>
        <w:fldChar w:fldCharType="end"/>
      </w:r>
      <w:r>
        <w:rPr>
          <w:rFonts w:hint="eastAsia" w:ascii="宋体" w:hAnsi="宋体" w:eastAsia="宋体" w:cs="宋体"/>
          <w:kern w:val="0"/>
        </w:rPr>
        <w:t>发包人未能按合同约定提供施工现场、施工条件、基础资料、许可、批准等开工条件的；</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fldChar w:fldCharType="begin"/>
      </w:r>
      <w:r>
        <w:rPr>
          <w:rFonts w:hint="eastAsia" w:ascii="宋体" w:hAnsi="宋体" w:eastAsia="宋体" w:cs="宋体"/>
          <w:kern w:val="0"/>
        </w:rPr>
        <w:instrText xml:space="preserve"> = 3 \* GB2 </w:instrText>
      </w:r>
      <w:r>
        <w:rPr>
          <w:rFonts w:hint="eastAsia" w:ascii="宋体" w:hAnsi="宋体" w:eastAsia="宋体" w:cs="宋体"/>
          <w:kern w:val="0"/>
        </w:rPr>
        <w:fldChar w:fldCharType="separate"/>
      </w:r>
      <w:r>
        <w:rPr>
          <w:rFonts w:hint="eastAsia" w:ascii="宋体" w:hAnsi="宋体" w:eastAsia="宋体" w:cs="宋体"/>
          <w:kern w:val="0"/>
        </w:rPr>
        <w:t>⑶</w:t>
      </w:r>
      <w:r>
        <w:rPr>
          <w:rFonts w:hint="eastAsia" w:ascii="宋体" w:hAnsi="宋体" w:eastAsia="宋体" w:cs="宋体"/>
          <w:kern w:val="0"/>
        </w:rPr>
        <w:fldChar w:fldCharType="end"/>
      </w:r>
      <w:r>
        <w:rPr>
          <w:rFonts w:hint="eastAsia" w:ascii="宋体" w:hAnsi="宋体" w:eastAsia="宋体" w:cs="宋体"/>
          <w:kern w:val="0"/>
        </w:rPr>
        <w:t>发包人提供的测量基准点、基准线和水准点及其书面资料存在错误或疏漏的；</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fldChar w:fldCharType="begin"/>
      </w:r>
      <w:r>
        <w:rPr>
          <w:rFonts w:hint="eastAsia" w:ascii="宋体" w:hAnsi="宋体" w:eastAsia="宋体" w:cs="宋体"/>
          <w:kern w:val="0"/>
        </w:rPr>
        <w:instrText xml:space="preserve"> = 4 \* GB2 </w:instrText>
      </w:r>
      <w:r>
        <w:rPr>
          <w:rFonts w:hint="eastAsia" w:ascii="宋体" w:hAnsi="宋体" w:eastAsia="宋体" w:cs="宋体"/>
          <w:kern w:val="0"/>
        </w:rPr>
        <w:fldChar w:fldCharType="separate"/>
      </w:r>
      <w:r>
        <w:rPr>
          <w:rFonts w:hint="eastAsia" w:ascii="宋体" w:hAnsi="宋体" w:eastAsia="宋体" w:cs="宋体"/>
          <w:kern w:val="0"/>
        </w:rPr>
        <w:t>⑷</w:t>
      </w:r>
      <w:r>
        <w:rPr>
          <w:rFonts w:hint="eastAsia" w:ascii="宋体" w:hAnsi="宋体" w:eastAsia="宋体" w:cs="宋体"/>
          <w:kern w:val="0"/>
        </w:rPr>
        <w:fldChar w:fldCharType="end"/>
      </w:r>
      <w:r>
        <w:rPr>
          <w:rFonts w:hint="eastAsia" w:ascii="宋体" w:hAnsi="宋体" w:eastAsia="宋体" w:cs="宋体"/>
          <w:kern w:val="0"/>
        </w:rPr>
        <w:t>发包人未能在计划开工日期之日起7天内同意下达开工通知的；</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fldChar w:fldCharType="begin"/>
      </w:r>
      <w:r>
        <w:rPr>
          <w:rFonts w:hint="eastAsia" w:ascii="宋体" w:hAnsi="宋体" w:eastAsia="宋体" w:cs="宋体"/>
          <w:kern w:val="0"/>
        </w:rPr>
        <w:instrText xml:space="preserve"> = 5 \* GB2 </w:instrText>
      </w:r>
      <w:r>
        <w:rPr>
          <w:rFonts w:hint="eastAsia" w:ascii="宋体" w:hAnsi="宋体" w:eastAsia="宋体" w:cs="宋体"/>
          <w:kern w:val="0"/>
        </w:rPr>
        <w:fldChar w:fldCharType="separate"/>
      </w:r>
      <w:r>
        <w:rPr>
          <w:rFonts w:hint="eastAsia" w:ascii="宋体" w:hAnsi="宋体" w:eastAsia="宋体" w:cs="宋体"/>
          <w:kern w:val="0"/>
        </w:rPr>
        <w:t>⑸</w:t>
      </w:r>
      <w:r>
        <w:rPr>
          <w:rFonts w:hint="eastAsia" w:ascii="宋体" w:hAnsi="宋体" w:eastAsia="宋体" w:cs="宋体"/>
          <w:kern w:val="0"/>
        </w:rPr>
        <w:fldChar w:fldCharType="end"/>
      </w:r>
      <w:r>
        <w:rPr>
          <w:rFonts w:hint="eastAsia" w:ascii="宋体" w:hAnsi="宋体" w:eastAsia="宋体" w:cs="宋体"/>
          <w:kern w:val="0"/>
        </w:rPr>
        <w:t>发包人未能按合同约定日期支付工程预付款、进度款或竣工结算款的；</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fldChar w:fldCharType="begin"/>
      </w:r>
      <w:r>
        <w:rPr>
          <w:rFonts w:hint="eastAsia" w:ascii="宋体" w:hAnsi="宋体" w:eastAsia="宋体" w:cs="宋体"/>
          <w:kern w:val="0"/>
        </w:rPr>
        <w:instrText xml:space="preserve"> = 6 \* GB2 </w:instrText>
      </w:r>
      <w:r>
        <w:rPr>
          <w:rFonts w:hint="eastAsia" w:ascii="宋体" w:hAnsi="宋体" w:eastAsia="宋体" w:cs="宋体"/>
          <w:kern w:val="0"/>
        </w:rPr>
        <w:fldChar w:fldCharType="separate"/>
      </w:r>
      <w:r>
        <w:rPr>
          <w:rFonts w:hint="eastAsia" w:ascii="宋体" w:hAnsi="宋体" w:eastAsia="宋体" w:cs="宋体"/>
          <w:kern w:val="0"/>
        </w:rPr>
        <w:t>⑹</w:t>
      </w:r>
      <w:r>
        <w:rPr>
          <w:rFonts w:hint="eastAsia" w:ascii="宋体" w:hAnsi="宋体" w:eastAsia="宋体" w:cs="宋体"/>
          <w:kern w:val="0"/>
        </w:rPr>
        <w:fldChar w:fldCharType="end"/>
      </w:r>
      <w:r>
        <w:rPr>
          <w:rFonts w:hint="eastAsia" w:ascii="宋体" w:hAnsi="宋体" w:eastAsia="宋体" w:cs="宋体"/>
          <w:kern w:val="0"/>
        </w:rPr>
        <w:t>监理单位未按合同约定发出指示、批准等文件的；</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fldChar w:fldCharType="begin"/>
      </w:r>
      <w:r>
        <w:rPr>
          <w:rFonts w:hint="eastAsia" w:ascii="宋体" w:hAnsi="宋体" w:eastAsia="宋体" w:cs="宋体"/>
          <w:kern w:val="0"/>
        </w:rPr>
        <w:instrText xml:space="preserve"> = 7 \* GB2 </w:instrText>
      </w:r>
      <w:r>
        <w:rPr>
          <w:rFonts w:hint="eastAsia" w:ascii="宋体" w:hAnsi="宋体" w:eastAsia="宋体" w:cs="宋体"/>
          <w:kern w:val="0"/>
        </w:rPr>
        <w:fldChar w:fldCharType="separate"/>
      </w:r>
      <w:r>
        <w:rPr>
          <w:rFonts w:hint="eastAsia" w:ascii="宋体" w:hAnsi="宋体" w:eastAsia="宋体" w:cs="宋体"/>
          <w:kern w:val="0"/>
        </w:rPr>
        <w:t>⑺</w:t>
      </w:r>
      <w:r>
        <w:rPr>
          <w:rFonts w:hint="eastAsia" w:ascii="宋体" w:hAnsi="宋体" w:eastAsia="宋体" w:cs="宋体"/>
          <w:kern w:val="0"/>
        </w:rPr>
        <w:fldChar w:fldCharType="end"/>
      </w:r>
      <w:r>
        <w:rPr>
          <w:rFonts w:hint="eastAsia" w:ascii="宋体" w:hAnsi="宋体" w:eastAsia="宋体" w:cs="宋体"/>
          <w:b/>
          <w:i/>
          <w:kern w:val="0"/>
        </w:rPr>
        <w:t>专用条款</w:t>
      </w:r>
      <w:r>
        <w:rPr>
          <w:rFonts w:hint="eastAsia" w:ascii="宋体" w:hAnsi="宋体" w:eastAsia="宋体" w:cs="宋体"/>
          <w:kern w:val="0"/>
        </w:rPr>
        <w:t>中约定的其他情形。</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097" w:name="_Toc13058"/>
      <w:bookmarkStart w:id="1098" w:name="_Toc67418681"/>
      <w:r>
        <w:rPr>
          <w:rFonts w:hint="eastAsia" w:ascii="宋体" w:hAnsi="宋体" w:cs="宋体"/>
          <w:sz w:val="24"/>
          <w:szCs w:val="24"/>
          <w:lang w:val="en-US" w:eastAsia="zh-CN"/>
        </w:rPr>
        <w:t xml:space="preserve">29.6 </w:t>
      </w:r>
      <w:r>
        <w:rPr>
          <w:rFonts w:hint="eastAsia" w:ascii="宋体" w:hAnsi="宋体" w:eastAsia="宋体" w:cs="宋体"/>
          <w:sz w:val="24"/>
          <w:szCs w:val="24"/>
        </w:rPr>
        <w:t>承包人索赔程序</w:t>
      </w:r>
      <w:bookmarkEnd w:id="1094"/>
      <w:bookmarkEnd w:id="1097"/>
      <w:bookmarkEnd w:id="1098"/>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发包人未能按合同约定履行义务、发生错误以及应由发包人承担责任的其他情况，给承包人造成损失和(或)导致工期延误的，承包人可按下列程序向发包人提出索赔：</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⑴索赔的事件发生后28天内，向监理人提出索赔意向通知。逾期不提出的，视为放弃索赔；</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⑵在提出索赔意向通知后28天内，向监理人提交赔偿损失和(或)延长工期的索赔报告及有关资料；</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⑶监理人在收到承包人提交的索赔报告和有关资料后，于28天内给予答复，或要求承包人进一步补充索赔理由和证据；</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⑷监理人在收到承包人提交的索赔报告和有关资料后28天内未予答复或未对承包人作进一步要求，视为该项索赔已被认可；</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⑸当索赔事件持续进行时，承包人应阶段性向监理人提出索赔意向通知，在该事件终了后28天内，向监理人提交索赔的有关资料和最终索赔报告。索赔答复程序与第29.4⑶、⑷项的约定相同。</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⑹承包人接受索赔处理结果的，索赔款项在当期进度款中进行支付；承包人不接受索赔处理结果的，按照第30条〔争议解决〕约定处理。</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099" w:name="_Toc5379"/>
      <w:bookmarkStart w:id="1100" w:name="_Toc67418682"/>
      <w:r>
        <w:rPr>
          <w:rFonts w:hint="eastAsia" w:ascii="宋体" w:hAnsi="宋体" w:cs="宋体"/>
          <w:sz w:val="24"/>
          <w:szCs w:val="24"/>
          <w:lang w:val="en-US" w:eastAsia="zh-CN"/>
        </w:rPr>
        <w:t xml:space="preserve">29.7 </w:t>
      </w:r>
      <w:r>
        <w:rPr>
          <w:rFonts w:hint="eastAsia" w:ascii="宋体" w:hAnsi="宋体" w:eastAsia="宋体" w:cs="宋体"/>
          <w:sz w:val="24"/>
          <w:szCs w:val="24"/>
        </w:rPr>
        <w:t>提出索赔的期限</w:t>
      </w:r>
      <w:bookmarkEnd w:id="1095"/>
      <w:bookmarkEnd w:id="1099"/>
      <w:bookmarkEnd w:id="1100"/>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⑴承包人按第27.7款〔竣工结算支付〕约定接收竣工支付证书后，应被视为已无权再提出在工程接收证书颁发前所发生的任何索赔。</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⑵承包人按第27.8款〔最终结清申请〕提交的最终结清申请单中，只限于提出工程接收证书颁发后发生的索赔。提出索赔的期限自接受最终结清证书时终止。</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101" w:name="_Toc21384"/>
      <w:bookmarkStart w:id="1102" w:name="_Toc302635905"/>
      <w:bookmarkStart w:id="1103" w:name="_Toc67418683"/>
      <w:r>
        <w:rPr>
          <w:rFonts w:hint="eastAsia" w:ascii="宋体" w:hAnsi="宋体" w:cs="宋体"/>
          <w:sz w:val="24"/>
          <w:szCs w:val="24"/>
          <w:lang w:val="en-US" w:eastAsia="zh-CN"/>
        </w:rPr>
        <w:t xml:space="preserve">29.8 </w:t>
      </w:r>
      <w:r>
        <w:rPr>
          <w:rFonts w:hint="eastAsia" w:ascii="宋体" w:hAnsi="宋体" w:eastAsia="宋体" w:cs="宋体"/>
          <w:sz w:val="24"/>
          <w:szCs w:val="24"/>
        </w:rPr>
        <w:t>索赔费用的支付</w:t>
      </w:r>
      <w:bookmarkEnd w:id="1096"/>
      <w:bookmarkEnd w:id="1101"/>
      <w:bookmarkEnd w:id="1102"/>
      <w:bookmarkEnd w:id="1103"/>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⑴监理人对承包人根据第29.4款提交的索赔报告和有关资料进行核实，并报发包人批准后，确定赔偿的费用并与工程款同期支付，确定延误的工期并顺延工期。</w:t>
      </w:r>
      <w:bookmarkEnd w:id="1089"/>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⑵承包人对发包人根据第29.6款提交的索赔报告和有关资料进行核实，与发包人协商后确定赔偿的费用并在监理人签发给承包人的支付证书中予以扣除。</w:t>
      </w:r>
    </w:p>
    <w:p>
      <w:pPr>
        <w:tabs>
          <w:tab w:val="left" w:pos="1620"/>
          <w:tab w:val="left" w:pos="2340"/>
        </w:tabs>
        <w:spacing w:after="156"/>
        <w:ind w:left="899"/>
        <w:jc w:val="left"/>
        <w:rPr>
          <w:rFonts w:hint="eastAsia" w:ascii="宋体" w:hAnsi="宋体" w:eastAsia="宋体" w:cs="宋体"/>
          <w:kern w:val="0"/>
        </w:rPr>
      </w:pPr>
      <w:bookmarkStart w:id="1104" w:name="_Toc34909144"/>
      <w:r>
        <w:rPr>
          <w:rFonts w:hint="eastAsia" w:ascii="宋体" w:hAnsi="宋体" w:eastAsia="宋体" w:cs="宋体"/>
          <w:kern w:val="0"/>
        </w:rPr>
        <w:t>⑶有关本工程索赔的文件的编制和审核均须经注册造价工程师签字盖章确认。</w:t>
      </w:r>
      <w:bookmarkEnd w:id="1104"/>
    </w:p>
    <w:p>
      <w:pPr>
        <w:pStyle w:val="2"/>
        <w:keepNext w:val="0"/>
        <w:keepLines w:val="0"/>
        <w:widowControl w:val="0"/>
        <w:tabs>
          <w:tab w:val="left" w:pos="720"/>
          <w:tab w:val="left" w:pos="1620"/>
          <w:tab w:val="left" w:pos="2340"/>
        </w:tabs>
        <w:spacing w:before="240" w:after="120"/>
        <w:ind w:left="178" w:firstLine="0"/>
        <w:rPr>
          <w:rFonts w:hint="eastAsia" w:ascii="宋体" w:hAnsi="宋体" w:eastAsia="宋体" w:cs="宋体"/>
        </w:rPr>
      </w:pPr>
      <w:bookmarkStart w:id="1105" w:name="_Toc34909145"/>
      <w:bookmarkStart w:id="1106" w:name="_Toc305331404"/>
      <w:bookmarkStart w:id="1107" w:name="_Toc35657003"/>
      <w:bookmarkStart w:id="1108" w:name="_Toc35656501"/>
      <w:bookmarkStart w:id="1109" w:name="_Toc302635906"/>
      <w:bookmarkStart w:id="1110" w:name="_Toc24077"/>
      <w:bookmarkStart w:id="1111" w:name="_Toc67418684"/>
      <w:r>
        <w:rPr>
          <w:rFonts w:hint="eastAsia" w:ascii="宋体" w:cs="宋体"/>
          <w:lang w:val="en-US" w:eastAsia="zh-CN"/>
        </w:rPr>
        <w:t xml:space="preserve">30 </w:t>
      </w:r>
      <w:r>
        <w:rPr>
          <w:rFonts w:hint="eastAsia" w:ascii="宋体" w:hAnsi="宋体" w:eastAsia="宋体" w:cs="宋体"/>
        </w:rPr>
        <w:t>争议</w:t>
      </w:r>
      <w:bookmarkEnd w:id="1105"/>
      <w:bookmarkEnd w:id="1106"/>
      <w:bookmarkEnd w:id="1107"/>
      <w:bookmarkEnd w:id="1108"/>
      <w:r>
        <w:rPr>
          <w:rFonts w:hint="eastAsia" w:ascii="宋体" w:hAnsi="宋体" w:eastAsia="宋体" w:cs="宋体"/>
        </w:rPr>
        <w:t>解决</w:t>
      </w:r>
      <w:bookmarkEnd w:id="1109"/>
      <w:bookmarkEnd w:id="1110"/>
      <w:bookmarkEnd w:id="1111"/>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112" w:name="_Toc305331405"/>
      <w:bookmarkStart w:id="1113" w:name="_Toc302635907"/>
      <w:bookmarkStart w:id="1114" w:name="_Toc20784"/>
      <w:bookmarkStart w:id="1115" w:name="_Toc67418685"/>
      <w:bookmarkStart w:id="1116" w:name="_Toc34909146"/>
      <w:r>
        <w:rPr>
          <w:rFonts w:hint="eastAsia" w:ascii="宋体" w:hAnsi="宋体" w:cs="宋体"/>
          <w:sz w:val="24"/>
          <w:szCs w:val="24"/>
          <w:lang w:val="en-US" w:eastAsia="zh-CN"/>
        </w:rPr>
        <w:t xml:space="preserve">30.1 </w:t>
      </w:r>
      <w:r>
        <w:rPr>
          <w:rFonts w:hint="eastAsia" w:ascii="宋体" w:hAnsi="宋体" w:eastAsia="宋体" w:cs="宋体"/>
          <w:sz w:val="24"/>
          <w:szCs w:val="24"/>
        </w:rPr>
        <w:t>争议的解决方式</w:t>
      </w:r>
      <w:bookmarkEnd w:id="1112"/>
      <w:bookmarkEnd w:id="1113"/>
      <w:bookmarkEnd w:id="1114"/>
      <w:bookmarkEnd w:id="1115"/>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⑴凡因本合同引起的或与本合同有关的任何争议，发包人与承包人可自行和解，和解不成的可提交</w:t>
      </w:r>
      <w:r>
        <w:rPr>
          <w:rFonts w:hint="eastAsia" w:ascii="宋体" w:hAnsi="宋体" w:eastAsia="宋体" w:cs="宋体"/>
          <w:b/>
          <w:i/>
          <w:kern w:val="0"/>
        </w:rPr>
        <w:t>专用条款</w:t>
      </w:r>
      <w:r>
        <w:rPr>
          <w:rFonts w:hint="eastAsia" w:ascii="宋体" w:hAnsi="宋体" w:eastAsia="宋体" w:cs="宋体"/>
          <w:kern w:val="0"/>
        </w:rPr>
        <w:t>中约定的机构进行调解。和解或调解成功的，发包人和承包人应签订书面和解协议。</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⑵发包人或承包人一方不愿调解或调解不成的，双方可按</w:t>
      </w:r>
      <w:r>
        <w:rPr>
          <w:rFonts w:hint="eastAsia" w:ascii="宋体" w:hAnsi="宋体" w:eastAsia="宋体" w:cs="宋体"/>
          <w:b/>
          <w:i/>
          <w:kern w:val="0"/>
        </w:rPr>
        <w:t>专用条款</w:t>
      </w:r>
      <w:r>
        <w:rPr>
          <w:rFonts w:hint="eastAsia" w:ascii="宋体" w:hAnsi="宋体" w:eastAsia="宋体" w:cs="宋体"/>
          <w:kern w:val="0"/>
        </w:rPr>
        <w:t>中约定的方式申请仲裁或提起诉讼解决争议</w:t>
      </w:r>
      <w:bookmarkEnd w:id="1116"/>
      <w:r>
        <w:rPr>
          <w:rFonts w:hint="eastAsia" w:ascii="宋体" w:hAnsi="宋体" w:eastAsia="宋体" w:cs="宋体"/>
          <w:kern w:val="0"/>
        </w:rPr>
        <w:t>。</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117" w:name="_Toc302635908"/>
      <w:bookmarkStart w:id="1118" w:name="_Toc67418686"/>
      <w:bookmarkStart w:id="1119" w:name="_Toc305331406"/>
      <w:bookmarkStart w:id="1120" w:name="_Toc20703"/>
      <w:bookmarkStart w:id="1121" w:name="_Toc34909148"/>
      <w:r>
        <w:rPr>
          <w:rFonts w:hint="eastAsia" w:ascii="宋体" w:hAnsi="宋体" w:cs="宋体"/>
          <w:sz w:val="24"/>
          <w:szCs w:val="24"/>
          <w:lang w:val="en-US" w:eastAsia="zh-CN"/>
        </w:rPr>
        <w:t xml:space="preserve">30.2 </w:t>
      </w:r>
      <w:r>
        <w:rPr>
          <w:rFonts w:hint="eastAsia" w:ascii="宋体" w:hAnsi="宋体" w:eastAsia="宋体" w:cs="宋体"/>
          <w:sz w:val="24"/>
          <w:szCs w:val="24"/>
        </w:rPr>
        <w:t>继续履行合同</w:t>
      </w:r>
      <w:bookmarkEnd w:id="1117"/>
      <w:bookmarkEnd w:id="1118"/>
      <w:bookmarkEnd w:id="1119"/>
      <w:bookmarkEnd w:id="1120"/>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发生争议后，除非出现下列情况及本合同另有约定的情况，双方都应继续履行合同，保持施工连续，保护好已完工程：</w:t>
      </w:r>
      <w:bookmarkEnd w:id="1121"/>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⑴单方违约导致合同确已无法履行，双方协议停止施工；</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⑵调解要求停止施工，且为双方接受；</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⑶仲裁机构要求停止施工；</w:t>
      </w:r>
    </w:p>
    <w:p>
      <w:pPr>
        <w:tabs>
          <w:tab w:val="left" w:pos="1620"/>
          <w:tab w:val="left" w:pos="2340"/>
        </w:tabs>
        <w:ind w:left="1079"/>
        <w:jc w:val="left"/>
        <w:rPr>
          <w:rFonts w:hint="eastAsia" w:ascii="宋体" w:hAnsi="宋体" w:eastAsia="宋体" w:cs="宋体"/>
          <w:kern w:val="0"/>
        </w:rPr>
      </w:pPr>
      <w:r>
        <w:rPr>
          <w:rFonts w:hint="eastAsia" w:ascii="宋体" w:hAnsi="宋体" w:eastAsia="宋体" w:cs="宋体"/>
          <w:kern w:val="0"/>
        </w:rPr>
        <w:t>⑷法院要求停止施工。</w:t>
      </w:r>
    </w:p>
    <w:p>
      <w:pPr>
        <w:pStyle w:val="2"/>
        <w:keepNext w:val="0"/>
        <w:keepLines w:val="0"/>
        <w:widowControl w:val="0"/>
        <w:tabs>
          <w:tab w:val="left" w:pos="720"/>
          <w:tab w:val="left" w:pos="1620"/>
          <w:tab w:val="left" w:pos="2340"/>
        </w:tabs>
        <w:spacing w:before="240" w:after="120"/>
        <w:ind w:left="178" w:firstLine="0"/>
        <w:rPr>
          <w:rFonts w:hint="eastAsia" w:ascii="宋体" w:hAnsi="宋体" w:eastAsia="宋体" w:cs="宋体"/>
        </w:rPr>
      </w:pPr>
      <w:bookmarkStart w:id="1122" w:name="_Toc21243"/>
      <w:bookmarkStart w:id="1123" w:name="_Toc302635909"/>
      <w:bookmarkStart w:id="1124" w:name="_Toc305331407"/>
      <w:bookmarkStart w:id="1125" w:name="_Toc67418687"/>
      <w:r>
        <w:rPr>
          <w:rFonts w:hint="eastAsia" w:ascii="宋体" w:cs="宋体"/>
          <w:lang w:val="en-US" w:eastAsia="zh-CN"/>
        </w:rPr>
        <w:t xml:space="preserve">31 </w:t>
      </w:r>
      <w:r>
        <w:rPr>
          <w:rFonts w:hint="eastAsia" w:ascii="宋体" w:hAnsi="宋体" w:eastAsia="宋体" w:cs="宋体"/>
        </w:rPr>
        <w:t>工程缺陷责任与保修</w:t>
      </w:r>
      <w:bookmarkEnd w:id="1122"/>
      <w:bookmarkEnd w:id="1123"/>
      <w:bookmarkEnd w:id="1124"/>
      <w:bookmarkEnd w:id="1125"/>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126" w:name="_Toc25571"/>
      <w:bookmarkStart w:id="1127" w:name="_Toc67418688"/>
      <w:bookmarkStart w:id="1128" w:name="_Toc34909151"/>
      <w:bookmarkStart w:id="1129" w:name="_Toc305331408"/>
      <w:bookmarkStart w:id="1130" w:name="_Toc302635910"/>
      <w:r>
        <w:rPr>
          <w:rFonts w:hint="eastAsia" w:ascii="宋体" w:hAnsi="宋体" w:cs="宋体"/>
          <w:sz w:val="24"/>
          <w:szCs w:val="24"/>
          <w:lang w:val="en-US" w:eastAsia="zh-CN"/>
        </w:rPr>
        <w:t xml:space="preserve">31.1 </w:t>
      </w:r>
      <w:r>
        <w:rPr>
          <w:rFonts w:hint="eastAsia" w:ascii="宋体" w:hAnsi="宋体" w:eastAsia="宋体" w:cs="宋体"/>
          <w:sz w:val="24"/>
          <w:szCs w:val="24"/>
        </w:rPr>
        <w:t>工程保修的原则</w:t>
      </w:r>
      <w:bookmarkEnd w:id="1126"/>
      <w:bookmarkEnd w:id="1127"/>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在工程移交发包人后，因承包人原因产生的质量缺陷，承包人应承担质量缺陷责任和保修义务。缺陷责任期届满，承包人仍应按合同约定的工程各部位保修年限承担保修义务。</w:t>
      </w:r>
    </w:p>
    <w:bookmarkEnd w:id="1128"/>
    <w:bookmarkEnd w:id="1129"/>
    <w:bookmarkEnd w:id="1130"/>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131" w:name="_Toc67418689"/>
      <w:bookmarkStart w:id="1132" w:name="_Toc302635911"/>
      <w:bookmarkStart w:id="1133" w:name="_Toc23401"/>
      <w:bookmarkStart w:id="1134" w:name="_Toc34909152"/>
      <w:bookmarkStart w:id="1135" w:name="_Toc305331409"/>
      <w:r>
        <w:rPr>
          <w:rFonts w:hint="eastAsia" w:ascii="宋体" w:hAnsi="宋体" w:cs="宋体"/>
          <w:sz w:val="24"/>
          <w:szCs w:val="24"/>
          <w:lang w:val="en-US" w:eastAsia="zh-CN"/>
        </w:rPr>
        <w:t xml:space="preserve">31.2 </w:t>
      </w:r>
      <w:r>
        <w:rPr>
          <w:rFonts w:hint="eastAsia" w:ascii="宋体" w:hAnsi="宋体" w:eastAsia="宋体" w:cs="宋体"/>
          <w:sz w:val="24"/>
          <w:szCs w:val="24"/>
        </w:rPr>
        <w:t>缺陷责任期</w:t>
      </w:r>
      <w:bookmarkEnd w:id="1131"/>
      <w:bookmarkEnd w:id="1132"/>
      <w:bookmarkEnd w:id="1133"/>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⑴缺陷责任期自实际竣工日期起计算，承发包双方应在</w:t>
      </w:r>
      <w:r>
        <w:rPr>
          <w:rFonts w:hint="eastAsia" w:ascii="宋体" w:hAnsi="宋体" w:eastAsia="宋体" w:cs="宋体"/>
          <w:b/>
          <w:i/>
          <w:kern w:val="0"/>
        </w:rPr>
        <w:t>专用条款</w:t>
      </w:r>
      <w:r>
        <w:rPr>
          <w:rFonts w:hint="eastAsia" w:ascii="宋体" w:hAnsi="宋体" w:eastAsia="宋体" w:cs="宋体"/>
          <w:kern w:val="0"/>
        </w:rPr>
        <w:t>约定缺陷责任期的具体期限，但该期限最长不超过24个月。</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单位工程先于全部工程进行验收，经验收合格并交付使用的，该单位工程缺陷责任期自单位工程验收合格之日起算。因发包人原因导致工程无法按合同约定期限进行竣工验收的，缺陷责任期自承包人提交竣工验收申请报告之日起第91天（含）开始计算；发包人未经竣工验收擅自使用工程的，缺陷责任期自工程转移占有之日起开始计算。</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工程竣工验收合格后，因承包人原因导致的缺陷或损坏致使工程、单位工程或某项主要设备不能按原定目的使用的，则发包人有权要求承包人延长缺陷责任期，并应在原缺陷责任期届满前发出延长通知，但缺陷责任期最长不能超过24个月。</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⑶任何一项缺陷或损坏修复后，经检查证明其影响了工程或工程设备的使用性能，承包人应重新进行合同约定的试验和试运行，试验和试运行的全部费用应由责任方承担。</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⑷除</w:t>
      </w:r>
      <w:r>
        <w:rPr>
          <w:rFonts w:hint="eastAsia" w:ascii="宋体" w:hAnsi="宋体" w:eastAsia="宋体" w:cs="宋体"/>
          <w:b/>
          <w:i/>
          <w:kern w:val="0"/>
        </w:rPr>
        <w:t>专用条款</w:t>
      </w:r>
      <w:r>
        <w:rPr>
          <w:rFonts w:hint="eastAsia" w:ascii="宋体" w:hAnsi="宋体" w:eastAsia="宋体" w:cs="宋体"/>
          <w:kern w:val="0"/>
        </w:rPr>
        <w:t>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bookmarkEnd w:id="1134"/>
    <w:bookmarkEnd w:id="1135"/>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136" w:name="_Toc302635913"/>
      <w:bookmarkStart w:id="1137" w:name="_Toc67418690"/>
      <w:bookmarkStart w:id="1138" w:name="_Toc26187"/>
      <w:r>
        <w:rPr>
          <w:rFonts w:hint="eastAsia" w:ascii="宋体" w:hAnsi="宋体" w:cs="宋体"/>
          <w:sz w:val="24"/>
          <w:szCs w:val="24"/>
          <w:lang w:val="en-US" w:eastAsia="zh-CN"/>
        </w:rPr>
        <w:t xml:space="preserve">31.3 </w:t>
      </w:r>
      <w:r>
        <w:rPr>
          <w:rFonts w:hint="eastAsia" w:ascii="宋体" w:hAnsi="宋体" w:eastAsia="宋体" w:cs="宋体"/>
          <w:sz w:val="24"/>
          <w:szCs w:val="24"/>
        </w:rPr>
        <w:t>质量保证金</w:t>
      </w:r>
      <w:bookmarkEnd w:id="1136"/>
      <w:bookmarkEnd w:id="1137"/>
      <w:bookmarkEnd w:id="1138"/>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⑴经承发包双方协商一致扣留质量保证金的，应在</w:t>
      </w:r>
      <w:r>
        <w:rPr>
          <w:rFonts w:hint="eastAsia" w:ascii="宋体" w:hAnsi="宋体" w:eastAsia="宋体" w:cs="宋体"/>
          <w:b/>
          <w:i/>
          <w:kern w:val="0"/>
        </w:rPr>
        <w:t>专用条款</w:t>
      </w:r>
      <w:r>
        <w:rPr>
          <w:rFonts w:hint="eastAsia" w:ascii="宋体" w:hAnsi="宋体" w:eastAsia="宋体" w:cs="宋体"/>
          <w:kern w:val="0"/>
        </w:rPr>
        <w:t>中予以明确。</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⑵承包人提供质量保证金有以下三种方式：</w:t>
      </w:r>
    </w:p>
    <w:p>
      <w:pPr>
        <w:tabs>
          <w:tab w:val="left" w:pos="1620"/>
          <w:tab w:val="left" w:pos="2340"/>
        </w:tabs>
        <w:ind w:left="1109" w:leftChars="528"/>
        <w:jc w:val="left"/>
        <w:rPr>
          <w:rFonts w:hint="eastAsia" w:ascii="宋体" w:hAnsi="宋体" w:eastAsia="宋体" w:cs="宋体"/>
          <w:kern w:val="0"/>
        </w:rPr>
      </w:pPr>
      <w:r>
        <w:rPr>
          <w:rFonts w:hint="eastAsia" w:ascii="宋体" w:hAnsi="宋体" w:eastAsia="宋体" w:cs="宋体"/>
          <w:kern w:val="0"/>
        </w:rPr>
        <w:t xml:space="preserve">①质量保证金保函； </w:t>
      </w:r>
    </w:p>
    <w:p>
      <w:pPr>
        <w:tabs>
          <w:tab w:val="left" w:pos="1620"/>
          <w:tab w:val="left" w:pos="2340"/>
        </w:tabs>
        <w:ind w:left="1109" w:leftChars="528"/>
        <w:jc w:val="left"/>
        <w:rPr>
          <w:rFonts w:hint="eastAsia" w:ascii="宋体" w:hAnsi="宋体" w:eastAsia="宋体" w:cs="宋体"/>
          <w:kern w:val="0"/>
        </w:rPr>
      </w:pPr>
      <w:r>
        <w:rPr>
          <w:rFonts w:hint="eastAsia" w:ascii="宋体" w:hAnsi="宋体" w:eastAsia="宋体" w:cs="宋体"/>
          <w:kern w:val="0"/>
        </w:rPr>
        <w:t>②相应比例的工程款；</w:t>
      </w:r>
    </w:p>
    <w:p>
      <w:pPr>
        <w:tabs>
          <w:tab w:val="left" w:pos="1620"/>
          <w:tab w:val="left" w:pos="2340"/>
        </w:tabs>
        <w:ind w:left="1109" w:leftChars="528"/>
        <w:jc w:val="left"/>
        <w:rPr>
          <w:rFonts w:hint="eastAsia" w:ascii="宋体" w:hAnsi="宋体" w:eastAsia="宋体" w:cs="宋体"/>
          <w:kern w:val="0"/>
        </w:rPr>
      </w:pPr>
      <w:r>
        <w:rPr>
          <w:rFonts w:hint="eastAsia" w:ascii="宋体" w:hAnsi="宋体" w:eastAsia="宋体" w:cs="宋体"/>
          <w:kern w:val="0"/>
        </w:rPr>
        <w:t>③双方约定的其他方式。</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除</w:t>
      </w:r>
      <w:r>
        <w:rPr>
          <w:rFonts w:hint="eastAsia" w:ascii="宋体" w:hAnsi="宋体" w:eastAsia="宋体" w:cs="宋体"/>
          <w:b/>
          <w:i/>
          <w:kern w:val="0"/>
        </w:rPr>
        <w:t>专用条款</w:t>
      </w:r>
      <w:r>
        <w:rPr>
          <w:rFonts w:hint="eastAsia" w:ascii="宋体" w:hAnsi="宋体" w:eastAsia="宋体" w:cs="宋体"/>
          <w:kern w:val="0"/>
        </w:rPr>
        <w:t>另有约定外，质量保证金原则上采用上述第①种方式。</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⑶质量保证金的扣留有以下三种方式：</w:t>
      </w:r>
    </w:p>
    <w:p>
      <w:pPr>
        <w:tabs>
          <w:tab w:val="left" w:pos="1620"/>
          <w:tab w:val="left" w:pos="2340"/>
        </w:tabs>
        <w:ind w:left="1109" w:leftChars="528"/>
        <w:jc w:val="left"/>
        <w:rPr>
          <w:rFonts w:hint="eastAsia" w:ascii="宋体" w:hAnsi="宋体" w:eastAsia="宋体" w:cs="宋体"/>
          <w:kern w:val="0"/>
        </w:rPr>
      </w:pPr>
      <w:r>
        <w:rPr>
          <w:rFonts w:hint="eastAsia" w:ascii="宋体" w:hAnsi="宋体" w:eastAsia="宋体" w:cs="宋体"/>
          <w:kern w:val="0"/>
        </w:rPr>
        <w:t>①在支付工程进度款时逐次扣留，在此情形下，质量保证金的计算基数不包括预付款的支付、扣回以及价格调整的金额；</w:t>
      </w:r>
    </w:p>
    <w:p>
      <w:pPr>
        <w:tabs>
          <w:tab w:val="left" w:pos="1620"/>
          <w:tab w:val="left" w:pos="2340"/>
        </w:tabs>
        <w:ind w:left="1109" w:leftChars="528"/>
        <w:jc w:val="left"/>
        <w:rPr>
          <w:rFonts w:hint="eastAsia" w:ascii="宋体" w:hAnsi="宋体" w:eastAsia="宋体" w:cs="宋体"/>
          <w:kern w:val="0"/>
        </w:rPr>
      </w:pPr>
      <w:r>
        <w:rPr>
          <w:rFonts w:hint="eastAsia" w:ascii="宋体" w:hAnsi="宋体" w:eastAsia="宋体" w:cs="宋体"/>
          <w:kern w:val="0"/>
        </w:rPr>
        <w:t>②工</w:t>
      </w:r>
      <w:bookmarkStart w:id="1139" w:name="#go6"/>
      <w:bookmarkEnd w:id="1139"/>
      <w:r>
        <w:rPr>
          <w:rFonts w:hint="eastAsia" w:ascii="宋体" w:hAnsi="宋体" w:eastAsia="宋体" w:cs="宋体"/>
          <w:kern w:val="0"/>
        </w:rPr>
        <w:t>程竣工结算时一次性扣留质量保证金；</w:t>
      </w:r>
    </w:p>
    <w:p>
      <w:pPr>
        <w:tabs>
          <w:tab w:val="left" w:pos="1620"/>
          <w:tab w:val="left" w:pos="2340"/>
        </w:tabs>
        <w:ind w:left="1109" w:leftChars="528"/>
        <w:jc w:val="left"/>
        <w:rPr>
          <w:rFonts w:hint="eastAsia" w:ascii="宋体" w:hAnsi="宋体" w:eastAsia="宋体" w:cs="宋体"/>
          <w:kern w:val="0"/>
        </w:rPr>
      </w:pPr>
      <w:r>
        <w:rPr>
          <w:rFonts w:hint="eastAsia" w:ascii="宋体" w:hAnsi="宋体" w:eastAsia="宋体" w:cs="宋体"/>
          <w:kern w:val="0"/>
        </w:rPr>
        <w:t>③双方约定的其他扣留方式。</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除</w:t>
      </w:r>
      <w:r>
        <w:rPr>
          <w:rFonts w:hint="eastAsia" w:ascii="宋体" w:hAnsi="宋体" w:eastAsia="宋体" w:cs="宋体"/>
          <w:b/>
          <w:i/>
          <w:kern w:val="0"/>
        </w:rPr>
        <w:t>专用条款</w:t>
      </w:r>
      <w:r>
        <w:rPr>
          <w:rFonts w:hint="eastAsia" w:ascii="宋体" w:hAnsi="宋体" w:eastAsia="宋体" w:cs="宋体"/>
          <w:kern w:val="0"/>
        </w:rPr>
        <w:t>另有约定外，质量保证金的扣留原则上采用上述第①种方式。但在工程项目竣工前，承包人已提供履约担保的，发包人不得同时预留质量保证金。</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发</w:t>
      </w:r>
      <w:bookmarkStart w:id="1140" w:name="#go4"/>
      <w:bookmarkEnd w:id="1140"/>
      <w:r>
        <w:rPr>
          <w:rFonts w:hint="eastAsia" w:ascii="宋体" w:hAnsi="宋体" w:eastAsia="宋体" w:cs="宋体"/>
          <w:kern w:val="0"/>
        </w:rPr>
        <w:t>包人累计扣留的质量保证金不得超过结算合同价格的3%，以银行保函替代预留保证金的，保函金额不得超过结算合同价格的3%。如承包人在发包人签发竣工付款证书后28天内提交质量保证金保函，发包人应同时退还扣留的作为质量保证金的工程价款。</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⑷发包人应按27.8款〔最终结清申请〕的约定退还质量保证金。</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141" w:name="_Toc67418691"/>
      <w:bookmarkStart w:id="1142" w:name="_Toc24757"/>
      <w:r>
        <w:rPr>
          <w:rFonts w:hint="eastAsia" w:ascii="宋体" w:hAnsi="宋体" w:cs="宋体"/>
          <w:sz w:val="24"/>
          <w:szCs w:val="24"/>
          <w:lang w:val="en-US" w:eastAsia="zh-CN"/>
        </w:rPr>
        <w:t xml:space="preserve">31.4 </w:t>
      </w:r>
      <w:r>
        <w:rPr>
          <w:rFonts w:hint="eastAsia" w:ascii="宋体" w:hAnsi="宋体" w:eastAsia="宋体" w:cs="宋体"/>
          <w:sz w:val="24"/>
          <w:szCs w:val="24"/>
        </w:rPr>
        <w:t>保修责任</w:t>
      </w:r>
      <w:bookmarkEnd w:id="1141"/>
      <w:bookmarkEnd w:id="1142"/>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工程保修期从工程竣工验收合格之日起算，具体分部分项工程的保修期由承发包双方在</w:t>
      </w:r>
      <w:r>
        <w:rPr>
          <w:rFonts w:hint="eastAsia" w:ascii="宋体" w:hAnsi="宋体" w:eastAsia="宋体" w:cs="宋体"/>
          <w:b/>
          <w:i/>
          <w:kern w:val="0"/>
        </w:rPr>
        <w:t>专用条款</w:t>
      </w:r>
      <w:r>
        <w:rPr>
          <w:rFonts w:hint="eastAsia" w:ascii="宋体" w:hAnsi="宋体" w:eastAsia="宋体" w:cs="宋体"/>
          <w:kern w:val="0"/>
        </w:rPr>
        <w:t>中约定，但不得低于法定最低保修年限。在工程保修期内，承包人应当根据有关法律规定以及合同约定承担保修责任。</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发包人未经竣工验收擅自使用工程的，保修期自转移占有之日起算。</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143" w:name="_Toc4598"/>
      <w:bookmarkStart w:id="1144" w:name="_Toc67418692"/>
      <w:r>
        <w:rPr>
          <w:rFonts w:hint="eastAsia" w:ascii="宋体" w:hAnsi="宋体" w:cs="宋体"/>
          <w:sz w:val="24"/>
          <w:szCs w:val="24"/>
          <w:lang w:val="en-US" w:eastAsia="zh-CN"/>
        </w:rPr>
        <w:t xml:space="preserve">31.5 </w:t>
      </w:r>
      <w:r>
        <w:rPr>
          <w:rFonts w:hint="eastAsia" w:ascii="宋体" w:hAnsi="宋体" w:eastAsia="宋体" w:cs="宋体"/>
          <w:sz w:val="24"/>
          <w:szCs w:val="24"/>
        </w:rPr>
        <w:t>修复费用</w:t>
      </w:r>
      <w:bookmarkEnd w:id="1143"/>
      <w:bookmarkEnd w:id="1144"/>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保修期内，修复的费用按照以下约定处理：</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（1）保修期内，因承包人原因造成工程的缺陷、损坏，承包人应负责修复，并承担修复的费用以及因工程的缺陷、损坏造成的人身伤害和财产损失；</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（2）保修期内，因发包人使用不当造成工程的缺陷、损坏，可以委托承包人修复，但发包人应承担修复的费用，并支付承包人合理利润；</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（3）因其他原因造成工程的缺陷、损坏，可以委托承包人修复，发包人应承担修复的费用，并支付承包人合理的利润，因工程的缺陷、损坏造成的人身伤害和财产损失由责任方承担。</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145" w:name="_Toc67418693"/>
      <w:bookmarkStart w:id="1146" w:name="_Toc1961"/>
      <w:r>
        <w:rPr>
          <w:rFonts w:hint="eastAsia" w:ascii="宋体" w:hAnsi="宋体" w:cs="宋体"/>
          <w:sz w:val="24"/>
          <w:szCs w:val="24"/>
          <w:lang w:val="en-US" w:eastAsia="zh-CN"/>
        </w:rPr>
        <w:t xml:space="preserve">31.6 </w:t>
      </w:r>
      <w:r>
        <w:rPr>
          <w:rFonts w:hint="eastAsia" w:ascii="宋体" w:hAnsi="宋体" w:eastAsia="宋体" w:cs="宋体"/>
          <w:sz w:val="24"/>
          <w:szCs w:val="24"/>
        </w:rPr>
        <w:t>修复通知</w:t>
      </w:r>
      <w:bookmarkEnd w:id="1145"/>
      <w:bookmarkEnd w:id="1146"/>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w:t>
      </w:r>
      <w:r>
        <w:rPr>
          <w:rFonts w:hint="eastAsia" w:ascii="宋体" w:hAnsi="宋体" w:eastAsia="宋体" w:cs="宋体"/>
          <w:b/>
          <w:i/>
          <w:kern w:val="0"/>
        </w:rPr>
        <w:t>专用条款</w:t>
      </w:r>
      <w:r>
        <w:rPr>
          <w:rFonts w:hint="eastAsia" w:ascii="宋体" w:hAnsi="宋体" w:eastAsia="宋体" w:cs="宋体"/>
          <w:kern w:val="0"/>
        </w:rPr>
        <w:t>约定的合理期限内到达工程现场并修复缺陷或损坏。</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147" w:name="_Toc2397"/>
      <w:bookmarkStart w:id="1148" w:name="_Toc67418694"/>
      <w:r>
        <w:rPr>
          <w:rFonts w:hint="eastAsia" w:ascii="宋体" w:hAnsi="宋体" w:cs="宋体"/>
          <w:sz w:val="24"/>
          <w:szCs w:val="24"/>
          <w:lang w:val="en-US" w:eastAsia="zh-CN"/>
        </w:rPr>
        <w:t xml:space="preserve">31.7 </w:t>
      </w:r>
      <w:r>
        <w:rPr>
          <w:rFonts w:hint="eastAsia" w:ascii="宋体" w:hAnsi="宋体" w:eastAsia="宋体" w:cs="宋体"/>
          <w:sz w:val="24"/>
          <w:szCs w:val="24"/>
        </w:rPr>
        <w:t>未能修复</w:t>
      </w:r>
      <w:bookmarkEnd w:id="1147"/>
      <w:bookmarkEnd w:id="1148"/>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149" w:name="_Toc67418695"/>
      <w:bookmarkStart w:id="1150" w:name="_Toc7751"/>
      <w:r>
        <w:rPr>
          <w:rFonts w:hint="eastAsia" w:ascii="宋体" w:hAnsi="宋体" w:cs="宋体"/>
          <w:sz w:val="24"/>
          <w:szCs w:val="24"/>
          <w:lang w:val="en-US" w:eastAsia="zh-CN"/>
        </w:rPr>
        <w:t xml:space="preserve">31.8 </w:t>
      </w:r>
      <w:r>
        <w:rPr>
          <w:rFonts w:hint="eastAsia" w:ascii="宋体" w:hAnsi="宋体" w:eastAsia="宋体" w:cs="宋体"/>
          <w:sz w:val="24"/>
          <w:szCs w:val="24"/>
        </w:rPr>
        <w:t>承包人出入权</w:t>
      </w:r>
      <w:bookmarkEnd w:id="1149"/>
      <w:bookmarkEnd w:id="1150"/>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pPr>
        <w:pStyle w:val="2"/>
        <w:keepNext w:val="0"/>
        <w:keepLines w:val="0"/>
        <w:widowControl w:val="0"/>
        <w:tabs>
          <w:tab w:val="left" w:pos="720"/>
          <w:tab w:val="left" w:pos="1620"/>
          <w:tab w:val="left" w:pos="2340"/>
        </w:tabs>
        <w:spacing w:before="240" w:after="120"/>
        <w:ind w:left="178" w:firstLine="0"/>
        <w:rPr>
          <w:rFonts w:hint="eastAsia" w:ascii="宋体" w:hAnsi="宋体" w:eastAsia="宋体" w:cs="宋体"/>
        </w:rPr>
      </w:pPr>
      <w:bookmarkStart w:id="1151" w:name="_Toc35657008"/>
      <w:bookmarkStart w:id="1152" w:name="_Toc67418696"/>
      <w:bookmarkStart w:id="1153" w:name="_Toc34909160"/>
      <w:bookmarkStart w:id="1154" w:name="_Toc305331410"/>
      <w:bookmarkStart w:id="1155" w:name="_Toc35656506"/>
      <w:bookmarkStart w:id="1156" w:name="_Toc2598"/>
      <w:bookmarkStart w:id="1157" w:name="_Toc302635914"/>
      <w:r>
        <w:rPr>
          <w:rFonts w:hint="eastAsia" w:ascii="宋体" w:cs="宋体"/>
          <w:lang w:val="en-US" w:eastAsia="zh-CN"/>
        </w:rPr>
        <w:t xml:space="preserve">32 </w:t>
      </w:r>
      <w:r>
        <w:rPr>
          <w:rFonts w:hint="eastAsia" w:ascii="宋体" w:hAnsi="宋体" w:eastAsia="宋体" w:cs="宋体"/>
        </w:rPr>
        <w:t>不可抗力</w:t>
      </w:r>
      <w:bookmarkEnd w:id="1151"/>
      <w:bookmarkEnd w:id="1152"/>
      <w:bookmarkEnd w:id="1153"/>
      <w:bookmarkEnd w:id="1154"/>
      <w:bookmarkEnd w:id="1155"/>
      <w:bookmarkEnd w:id="1156"/>
      <w:bookmarkEnd w:id="1157"/>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158" w:name="_Toc302635915"/>
      <w:bookmarkStart w:id="1159" w:name="_Toc7333"/>
      <w:bookmarkStart w:id="1160" w:name="_Toc67418697"/>
      <w:bookmarkStart w:id="1161" w:name="_Toc305331411"/>
      <w:bookmarkStart w:id="1162" w:name="_Toc34909161"/>
      <w:r>
        <w:rPr>
          <w:rFonts w:hint="eastAsia" w:ascii="宋体" w:hAnsi="宋体" w:cs="宋体"/>
          <w:sz w:val="24"/>
          <w:szCs w:val="24"/>
          <w:lang w:val="en-US" w:eastAsia="zh-CN"/>
        </w:rPr>
        <w:t xml:space="preserve">32.1 </w:t>
      </w:r>
      <w:r>
        <w:rPr>
          <w:rFonts w:hint="eastAsia" w:ascii="宋体" w:hAnsi="宋体" w:eastAsia="宋体" w:cs="宋体"/>
          <w:sz w:val="24"/>
          <w:szCs w:val="24"/>
        </w:rPr>
        <w:t>不可抗力包括范围</w:t>
      </w:r>
      <w:bookmarkEnd w:id="1158"/>
      <w:bookmarkEnd w:id="1159"/>
      <w:bookmarkEnd w:id="1160"/>
      <w:bookmarkEnd w:id="1161"/>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rPr>
        <w:t>不可抗力事件是指发包人和承包人在订立合同时无法预见，在合同履行过程中不可避免发生并不能克服的自然灾害和社会突发事件，</w:t>
      </w:r>
      <w:r>
        <w:rPr>
          <w:rFonts w:hint="eastAsia" w:ascii="宋体" w:hAnsi="宋体" w:eastAsia="宋体" w:cs="宋体"/>
          <w:kern w:val="0"/>
        </w:rPr>
        <w:t>包括战争、恐怖活动、动乱、瘟疫、空中飞行物体坠落或其他非发包人与承包人责任造成的爆炸、火灾，以及地震、洪涝和</w:t>
      </w:r>
      <w:r>
        <w:rPr>
          <w:rFonts w:hint="eastAsia" w:ascii="宋体" w:hAnsi="宋体" w:eastAsia="宋体" w:cs="宋体"/>
          <w:b/>
          <w:i/>
          <w:kern w:val="0"/>
        </w:rPr>
        <w:t>专用条款</w:t>
      </w:r>
      <w:r>
        <w:rPr>
          <w:rFonts w:hint="eastAsia" w:ascii="宋体" w:hAnsi="宋体" w:eastAsia="宋体" w:cs="宋体"/>
          <w:kern w:val="0"/>
        </w:rPr>
        <w:t>约定的大风、暴雨、高温等自然灾害</w:t>
      </w:r>
      <w:r>
        <w:rPr>
          <w:rFonts w:hint="eastAsia" w:ascii="宋体" w:hAnsi="宋体" w:eastAsia="宋体" w:cs="宋体"/>
        </w:rPr>
        <w:t>，以至于本合同部分或全部不能继续履行</w:t>
      </w:r>
      <w:r>
        <w:rPr>
          <w:rFonts w:hint="eastAsia" w:ascii="宋体" w:hAnsi="宋体" w:eastAsia="宋体" w:cs="宋体"/>
          <w:kern w:val="0"/>
        </w:rPr>
        <w:t>。</w:t>
      </w:r>
      <w:bookmarkEnd w:id="1162"/>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163" w:name="_Toc8458"/>
      <w:bookmarkStart w:id="1164" w:name="_Toc302635916"/>
      <w:bookmarkStart w:id="1165" w:name="_Toc67418698"/>
      <w:bookmarkStart w:id="1166" w:name="_Toc305331412"/>
      <w:bookmarkStart w:id="1167" w:name="_Toc34909162"/>
      <w:r>
        <w:rPr>
          <w:rFonts w:hint="eastAsia" w:ascii="宋体" w:hAnsi="宋体" w:cs="宋体"/>
          <w:sz w:val="24"/>
          <w:szCs w:val="24"/>
          <w:lang w:val="en-US" w:eastAsia="zh-CN"/>
        </w:rPr>
        <w:t xml:space="preserve">32.2 </w:t>
      </w:r>
      <w:r>
        <w:rPr>
          <w:rFonts w:hint="eastAsia" w:ascii="宋体" w:hAnsi="宋体" w:eastAsia="宋体" w:cs="宋体"/>
          <w:sz w:val="24"/>
          <w:szCs w:val="24"/>
        </w:rPr>
        <w:t>不可抗力的确认</w:t>
      </w:r>
      <w:bookmarkEnd w:id="1163"/>
      <w:bookmarkEnd w:id="1164"/>
      <w:bookmarkEnd w:id="1165"/>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不可抗力发生后，发包人和承包人应收集证明不可抗力发生及不可抗力造成损失的证据，并及时认真统计所造成的损失。承发包双方对是否属于不可抗力或其损失的意见不一致的，按第30条〔争议解决〕的约定处理。</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168" w:name="_Toc26017"/>
      <w:bookmarkStart w:id="1169" w:name="_Toc67418699"/>
      <w:bookmarkStart w:id="1170" w:name="_Toc302635917"/>
      <w:r>
        <w:rPr>
          <w:rFonts w:hint="eastAsia" w:ascii="宋体" w:hAnsi="宋体" w:cs="宋体"/>
          <w:sz w:val="24"/>
          <w:szCs w:val="24"/>
          <w:lang w:val="en-US" w:eastAsia="zh-CN"/>
        </w:rPr>
        <w:t xml:space="preserve">32.3 </w:t>
      </w:r>
      <w:r>
        <w:rPr>
          <w:rFonts w:hint="eastAsia" w:ascii="宋体" w:hAnsi="宋体" w:eastAsia="宋体" w:cs="宋体"/>
          <w:sz w:val="24"/>
          <w:szCs w:val="24"/>
        </w:rPr>
        <w:t>不可抗力处理程序</w:t>
      </w:r>
      <w:bookmarkEnd w:id="1166"/>
      <w:bookmarkEnd w:id="1168"/>
      <w:bookmarkEnd w:id="1169"/>
      <w:bookmarkEnd w:id="1170"/>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不可抗力事件发生后，承包人应立即通知监理人，并在力所能及的条件下迅速采取措施，尽力减少损失，发包人应协助承包人采取措施。监理人认为应暂停施工的，承包人应暂停施工。不可抗力事件结束后48小时内承包人向监理人通报受害情况以及预计清理和修复的费用。不可抗力事件持续发生，承包人应每隔7天向监理人报告一次受害情况。不可抗力事件结束后14天内，承包人向监理人提交清理和修复费用的正式报告及有关资料。</w:t>
      </w:r>
      <w:bookmarkEnd w:id="1167"/>
    </w:p>
    <w:p>
      <w:pPr>
        <w:tabs>
          <w:tab w:val="left" w:pos="1620"/>
          <w:tab w:val="left" w:pos="2340"/>
        </w:tabs>
        <w:spacing w:after="156"/>
        <w:ind w:left="899"/>
        <w:jc w:val="left"/>
        <w:rPr>
          <w:rFonts w:hint="eastAsia" w:ascii="宋体" w:hAnsi="宋体" w:eastAsia="宋体" w:cs="宋体"/>
          <w:kern w:val="0"/>
        </w:rPr>
      </w:pPr>
      <w:bookmarkStart w:id="1171" w:name="_Toc34909163"/>
      <w:r>
        <w:rPr>
          <w:rFonts w:hint="eastAsia" w:ascii="宋体" w:hAnsi="宋体" w:eastAsia="宋体" w:cs="宋体"/>
          <w:kern w:val="0"/>
        </w:rPr>
        <w:t>⑵本工程的有关各方均应始终尽所有合理的努力，使不可抗力对本工程及履行本合同造成的损失减至最小。</w:t>
      </w:r>
      <w:bookmarkEnd w:id="1171"/>
      <w:bookmarkStart w:id="1172" w:name="_Toc34909165"/>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⑶因发包人和承包人一方迟延履行合同后发生不可抗力的，</w:t>
      </w:r>
      <w:bookmarkEnd w:id="1172"/>
      <w:r>
        <w:rPr>
          <w:rFonts w:hint="eastAsia" w:ascii="宋体" w:hAnsi="宋体" w:eastAsia="宋体" w:cs="宋体"/>
          <w:kern w:val="0"/>
        </w:rPr>
        <w:t>不能免除迟延履行方的迟延履行责任。</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173" w:name="_Toc21043"/>
      <w:bookmarkStart w:id="1174" w:name="_Toc302635918"/>
      <w:bookmarkStart w:id="1175" w:name="_Toc67418700"/>
      <w:bookmarkStart w:id="1176" w:name="_Toc305331413"/>
      <w:bookmarkStart w:id="1177" w:name="_Toc34909164"/>
      <w:r>
        <w:rPr>
          <w:rFonts w:hint="eastAsia" w:ascii="宋体" w:hAnsi="宋体" w:cs="宋体"/>
          <w:sz w:val="24"/>
          <w:szCs w:val="24"/>
          <w:lang w:val="en-US" w:eastAsia="zh-CN"/>
        </w:rPr>
        <w:t xml:space="preserve">32.4 </w:t>
      </w:r>
      <w:r>
        <w:rPr>
          <w:rFonts w:hint="eastAsia" w:ascii="宋体" w:hAnsi="宋体" w:eastAsia="宋体" w:cs="宋体"/>
          <w:sz w:val="24"/>
          <w:szCs w:val="24"/>
        </w:rPr>
        <w:t>不可抗力损失费用承担</w:t>
      </w:r>
      <w:bookmarkEnd w:id="1173"/>
      <w:bookmarkEnd w:id="1174"/>
      <w:bookmarkEnd w:id="1175"/>
      <w:bookmarkEnd w:id="1176"/>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因不可抗力事件导致的费用及延误的工期由发包人和承包人按以下方法分别承担：</w:t>
      </w:r>
      <w:bookmarkEnd w:id="1177"/>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⑴工程本身的损害、因工程损害导致第三人人员伤亡和财产损失以及运至施工场地用于施工的材料和待安装的设备的损害，由发包人承担；</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⑵发包人、承包人人员伤亡由其所在单位负责，并承担相应费用；</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⑶承包人装备损坏、用于本工程的周转材料损坏及停工损失，由承包人承担；发包人提供的施工机械、设备发生损坏，由发包人承担；</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⑷因不可抗力导致停工期间，承包人应发包人或监理人要求留在施工场地的必要的管理人员及保卫人员的费用由发包人承担；</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⑸工程所需清理、修复费用，由发包人承担；</w:t>
      </w:r>
    </w:p>
    <w:p>
      <w:pPr>
        <w:tabs>
          <w:tab w:val="left" w:pos="1620"/>
          <w:tab w:val="left" w:pos="2340"/>
        </w:tabs>
        <w:ind w:left="899"/>
        <w:jc w:val="left"/>
        <w:rPr>
          <w:rFonts w:hint="eastAsia" w:ascii="宋体" w:hAnsi="宋体" w:eastAsia="宋体" w:cs="宋体"/>
          <w:kern w:val="0"/>
        </w:rPr>
      </w:pPr>
      <w:r>
        <w:rPr>
          <w:rFonts w:hint="eastAsia" w:ascii="宋体" w:hAnsi="宋体" w:eastAsia="宋体" w:cs="宋体"/>
          <w:kern w:val="0"/>
        </w:rPr>
        <w:t>⑹延误的工期相应顺延。</w:t>
      </w:r>
    </w:p>
    <w:p>
      <w:pPr>
        <w:pStyle w:val="2"/>
        <w:keepNext w:val="0"/>
        <w:keepLines w:val="0"/>
        <w:widowControl w:val="0"/>
        <w:tabs>
          <w:tab w:val="left" w:pos="720"/>
          <w:tab w:val="left" w:pos="1620"/>
          <w:tab w:val="left" w:pos="2340"/>
        </w:tabs>
        <w:spacing w:before="240" w:after="120"/>
        <w:ind w:left="178" w:firstLine="0"/>
        <w:rPr>
          <w:rFonts w:hint="eastAsia" w:ascii="宋体" w:hAnsi="宋体" w:eastAsia="宋体" w:cs="宋体"/>
        </w:rPr>
      </w:pPr>
      <w:bookmarkStart w:id="1178" w:name="_Toc302635920"/>
      <w:bookmarkStart w:id="1179" w:name="_Toc305331414"/>
      <w:bookmarkStart w:id="1180" w:name="_Toc34909168"/>
      <w:bookmarkStart w:id="1181" w:name="_Toc67418701"/>
      <w:bookmarkStart w:id="1182" w:name="_Toc35656508"/>
      <w:bookmarkStart w:id="1183" w:name="_Toc35657010"/>
      <w:bookmarkStart w:id="1184" w:name="_Toc3688"/>
      <w:r>
        <w:rPr>
          <w:rFonts w:hint="eastAsia" w:ascii="宋体" w:cs="宋体"/>
          <w:lang w:val="en-US" w:eastAsia="zh-CN"/>
        </w:rPr>
        <w:t xml:space="preserve">33 </w:t>
      </w:r>
      <w:r>
        <w:rPr>
          <w:rFonts w:hint="eastAsia" w:ascii="宋体" w:hAnsi="宋体" w:eastAsia="宋体" w:cs="宋体"/>
        </w:rPr>
        <w:t>保险</w:t>
      </w:r>
      <w:bookmarkEnd w:id="1178"/>
      <w:bookmarkEnd w:id="1179"/>
      <w:bookmarkEnd w:id="1180"/>
      <w:bookmarkEnd w:id="1181"/>
      <w:bookmarkEnd w:id="1182"/>
      <w:bookmarkEnd w:id="1183"/>
      <w:bookmarkEnd w:id="1184"/>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185" w:name="_Toc316"/>
      <w:bookmarkStart w:id="1186" w:name="_Toc305331415"/>
      <w:bookmarkStart w:id="1187" w:name="_Toc67418702"/>
      <w:bookmarkStart w:id="1188" w:name="_Toc302635921"/>
      <w:bookmarkStart w:id="1189" w:name="_Toc34909169"/>
      <w:r>
        <w:rPr>
          <w:rFonts w:hint="eastAsia" w:ascii="宋体" w:hAnsi="宋体" w:cs="宋体"/>
          <w:sz w:val="24"/>
          <w:szCs w:val="24"/>
          <w:lang w:val="en-US" w:eastAsia="zh-CN"/>
        </w:rPr>
        <w:t xml:space="preserve">33.1 </w:t>
      </w:r>
      <w:r>
        <w:rPr>
          <w:rFonts w:hint="eastAsia" w:ascii="宋体" w:hAnsi="宋体" w:eastAsia="宋体" w:cs="宋体"/>
          <w:sz w:val="24"/>
          <w:szCs w:val="24"/>
        </w:rPr>
        <w:t>发包人办理的保险</w:t>
      </w:r>
      <w:bookmarkEnd w:id="1185"/>
      <w:bookmarkEnd w:id="1186"/>
      <w:bookmarkEnd w:id="1187"/>
      <w:bookmarkEnd w:id="1188"/>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工程开工前，发包人应为本工程、施工场地内的自有人员、第三者人员生命财产、</w:t>
      </w:r>
      <w:r>
        <w:rPr>
          <w:rFonts w:hint="eastAsia" w:ascii="宋体" w:hAnsi="宋体" w:eastAsia="宋体" w:cs="宋体"/>
        </w:rPr>
        <w:t>运至施工场地内用于永久工程的材料和待安装设备</w:t>
      </w:r>
      <w:r>
        <w:rPr>
          <w:rFonts w:hint="eastAsia" w:ascii="宋体" w:hAnsi="宋体" w:eastAsia="宋体" w:cs="宋体"/>
          <w:kern w:val="0"/>
        </w:rPr>
        <w:t>办理保险，支付保险费用。</w:t>
      </w:r>
      <w:r>
        <w:rPr>
          <w:rFonts w:hint="eastAsia" w:ascii="宋体" w:hAnsi="宋体" w:eastAsia="宋体" w:cs="宋体"/>
        </w:rPr>
        <w:t>保险期从开工之日起至工程竣工验收合格之日止。</w:t>
      </w:r>
      <w:r>
        <w:rPr>
          <w:rFonts w:hint="eastAsia" w:ascii="宋体" w:hAnsi="宋体" w:eastAsia="宋体" w:cs="宋体"/>
          <w:kern w:val="0"/>
        </w:rPr>
        <w:t>发包人可以按</w:t>
      </w:r>
      <w:r>
        <w:rPr>
          <w:rFonts w:hint="eastAsia" w:ascii="宋体" w:hAnsi="宋体" w:eastAsia="宋体" w:cs="宋体"/>
          <w:b/>
          <w:i/>
          <w:kern w:val="0"/>
        </w:rPr>
        <w:t>专用条款</w:t>
      </w:r>
      <w:r>
        <w:rPr>
          <w:rFonts w:hint="eastAsia" w:ascii="宋体" w:hAnsi="宋体" w:eastAsia="宋体" w:cs="宋体"/>
          <w:kern w:val="0"/>
        </w:rPr>
        <w:t>的约定将上述有关保险事项委托承包人办理，费用由发包人承担。</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190" w:name="_Toc67418703"/>
      <w:bookmarkStart w:id="1191" w:name="_Toc302635922"/>
      <w:bookmarkStart w:id="1192" w:name="_Toc305331416"/>
      <w:bookmarkStart w:id="1193" w:name="_Toc27350"/>
      <w:r>
        <w:rPr>
          <w:rFonts w:hint="eastAsia" w:ascii="宋体" w:hAnsi="宋体" w:cs="宋体"/>
          <w:sz w:val="24"/>
          <w:szCs w:val="24"/>
          <w:lang w:val="en-US" w:eastAsia="zh-CN"/>
        </w:rPr>
        <w:t xml:space="preserve">33.2 </w:t>
      </w:r>
      <w:r>
        <w:rPr>
          <w:rFonts w:hint="eastAsia" w:ascii="宋体" w:hAnsi="宋体" w:eastAsia="宋体" w:cs="宋体"/>
          <w:sz w:val="24"/>
          <w:szCs w:val="24"/>
        </w:rPr>
        <w:t>承包人办理的保险</w:t>
      </w:r>
      <w:bookmarkEnd w:id="1190"/>
      <w:bookmarkEnd w:id="1191"/>
      <w:bookmarkEnd w:id="1192"/>
      <w:bookmarkEnd w:id="1193"/>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承包人必须为从事危险作业的职工办理意外伤害保险，并为施工场地内的自有人员生命财产及施工机械设备办理保险，支付保险费用。</w:t>
      </w:r>
      <w:r>
        <w:rPr>
          <w:rFonts w:hint="eastAsia" w:ascii="宋体" w:hAnsi="宋体" w:eastAsia="宋体" w:cs="宋体"/>
        </w:rPr>
        <w:t>保险期从开工之日起至工程竣工验收合格之日止。</w:t>
      </w:r>
      <w:r>
        <w:rPr>
          <w:rFonts w:hint="eastAsia" w:ascii="宋体" w:hAnsi="宋体" w:eastAsia="宋体" w:cs="宋体"/>
          <w:kern w:val="0"/>
        </w:rPr>
        <w:t>承包人在保险投保时还必须符合深圳市有关员工和机械、设备保险办理规定。对于分包人的人员，此类保险应由分包人投保，但承包人应对其符合本条规定负责。</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194" w:name="_Toc305331417"/>
      <w:bookmarkStart w:id="1195" w:name="_Toc302635923"/>
      <w:bookmarkStart w:id="1196" w:name="_Toc32373"/>
      <w:bookmarkStart w:id="1197" w:name="_Toc67418704"/>
      <w:r>
        <w:rPr>
          <w:rFonts w:hint="eastAsia" w:ascii="宋体" w:hAnsi="宋体" w:cs="宋体"/>
          <w:sz w:val="24"/>
          <w:szCs w:val="24"/>
          <w:lang w:val="en-US" w:eastAsia="zh-CN"/>
        </w:rPr>
        <w:t xml:space="preserve">33.3 </w:t>
      </w:r>
      <w:r>
        <w:rPr>
          <w:rFonts w:hint="eastAsia" w:ascii="宋体" w:hAnsi="宋体" w:eastAsia="宋体" w:cs="宋体"/>
          <w:sz w:val="24"/>
          <w:szCs w:val="24"/>
        </w:rPr>
        <w:t>投保人责任</w:t>
      </w:r>
      <w:bookmarkEnd w:id="1194"/>
      <w:bookmarkEnd w:id="1195"/>
      <w:bookmarkEnd w:id="1196"/>
      <w:bookmarkEnd w:id="1197"/>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⑴发包人和承包人中一方应向另一方提供按本合同要求其投保的各项保险已经生效的证明。</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⑵当合同工程施工的性质、规模或工期以及人员发生变更时，被保险人应及时通知保险公司，并在合同履行期间按本合同保险条款的规定保证足够的保险额，因而造成的费用由责任人承担。</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198" w:name="_Toc20030"/>
      <w:bookmarkStart w:id="1199" w:name="_Toc67418705"/>
      <w:bookmarkStart w:id="1200" w:name="_Toc305331418"/>
      <w:bookmarkStart w:id="1201" w:name="_Toc302635924"/>
      <w:r>
        <w:rPr>
          <w:rFonts w:hint="eastAsia" w:ascii="宋体" w:hAnsi="宋体" w:cs="宋体"/>
          <w:sz w:val="24"/>
          <w:szCs w:val="24"/>
          <w:lang w:val="en-US" w:eastAsia="zh-CN"/>
        </w:rPr>
        <w:t xml:space="preserve">33.4 </w:t>
      </w:r>
      <w:r>
        <w:rPr>
          <w:rFonts w:hint="eastAsia" w:ascii="宋体" w:hAnsi="宋体" w:eastAsia="宋体" w:cs="宋体"/>
          <w:sz w:val="24"/>
          <w:szCs w:val="24"/>
        </w:rPr>
        <w:t>保险理赔</w:t>
      </w:r>
      <w:bookmarkEnd w:id="1198"/>
      <w:bookmarkEnd w:id="1199"/>
      <w:bookmarkEnd w:id="1200"/>
      <w:bookmarkEnd w:id="1201"/>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当发生本工程承保项目的损失或损害时，被保险人应在风险发生后及时向保险公司提供损失情况和估价报告，如损失继续发生，被保险人在递交第一次报告后每7天报告一次，直到损害结束。发包人和承包人中一方应协助另一方做好向保险公司的报告和索赔工作。</w:t>
      </w:r>
      <w:bookmarkEnd w:id="1189"/>
    </w:p>
    <w:p>
      <w:pPr>
        <w:tabs>
          <w:tab w:val="left" w:pos="1620"/>
          <w:tab w:val="left" w:pos="2340"/>
        </w:tabs>
        <w:spacing w:after="156"/>
        <w:ind w:left="899"/>
        <w:jc w:val="left"/>
        <w:rPr>
          <w:rFonts w:hint="eastAsia" w:ascii="宋体" w:hAnsi="宋体" w:eastAsia="宋体" w:cs="宋体"/>
          <w:kern w:val="0"/>
        </w:rPr>
      </w:pPr>
      <w:bookmarkStart w:id="1202" w:name="_Toc34909177"/>
      <w:r>
        <w:rPr>
          <w:rFonts w:hint="eastAsia" w:ascii="宋体" w:hAnsi="宋体" w:eastAsia="宋体" w:cs="宋体"/>
          <w:kern w:val="0"/>
        </w:rPr>
        <w:t>⑵从保险公司收到的因合同工程本身损失或损坏的保险赔偿金,应专款用于修复合同工程这些损失或损坏，或作为对未能修复合同工程这些损失或损坏的补偿。</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203" w:name="_Toc67418706"/>
      <w:bookmarkStart w:id="1204" w:name="_Toc302635925"/>
      <w:bookmarkStart w:id="1205" w:name="_Toc2852"/>
      <w:r>
        <w:rPr>
          <w:rFonts w:hint="eastAsia" w:ascii="宋体" w:hAnsi="宋体" w:cs="宋体"/>
          <w:sz w:val="24"/>
          <w:szCs w:val="24"/>
          <w:lang w:val="en-US" w:eastAsia="zh-CN"/>
        </w:rPr>
        <w:t xml:space="preserve">33.5 </w:t>
      </w:r>
      <w:r>
        <w:rPr>
          <w:rFonts w:hint="eastAsia" w:ascii="宋体" w:hAnsi="宋体" w:eastAsia="宋体" w:cs="宋体"/>
          <w:sz w:val="24"/>
          <w:szCs w:val="24"/>
        </w:rPr>
        <w:t>未按约定投保的补救</w:t>
      </w:r>
      <w:bookmarkEnd w:id="1203"/>
      <w:bookmarkEnd w:id="1204"/>
      <w:bookmarkEnd w:id="1205"/>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⑴发包人未按合同约定办理保险，或未能使保险持续有效的，则承包人可代为办理，所需费用由发包人承担。发包人未按合同约定办理保险，导致未能得到足额赔偿的，由发包人负责补足。</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⑵承包人未按合同约定办理保险，或未能使保险持续有效的，则发包人可代为办理，所需费用由承包人承担。承包人未按合同约定办理保险，导致未能得到足额赔偿的，由承包人负责补足。</w:t>
      </w:r>
    </w:p>
    <w:bookmarkEnd w:id="1202"/>
    <w:p>
      <w:pPr>
        <w:pStyle w:val="2"/>
        <w:keepNext w:val="0"/>
        <w:keepLines w:val="0"/>
        <w:widowControl w:val="0"/>
        <w:tabs>
          <w:tab w:val="left" w:pos="720"/>
          <w:tab w:val="left" w:pos="1620"/>
          <w:tab w:val="left" w:pos="2340"/>
        </w:tabs>
        <w:spacing w:before="240" w:after="120"/>
        <w:ind w:left="178" w:firstLine="0"/>
        <w:rPr>
          <w:rFonts w:hint="eastAsia" w:ascii="宋体" w:hAnsi="宋体" w:eastAsia="宋体" w:cs="宋体"/>
        </w:rPr>
      </w:pPr>
      <w:bookmarkStart w:id="1206" w:name="_Toc34909180"/>
      <w:bookmarkStart w:id="1207" w:name="_Toc35657011"/>
      <w:bookmarkStart w:id="1208" w:name="_Toc11040"/>
      <w:bookmarkStart w:id="1209" w:name="_Toc67418707"/>
      <w:bookmarkStart w:id="1210" w:name="_Toc305331419"/>
      <w:bookmarkStart w:id="1211" w:name="_Toc35656509"/>
      <w:bookmarkStart w:id="1212" w:name="_Toc302635926"/>
      <w:r>
        <w:rPr>
          <w:rFonts w:hint="eastAsia" w:ascii="宋体" w:cs="宋体"/>
          <w:lang w:val="en-US" w:eastAsia="zh-CN"/>
        </w:rPr>
        <w:t xml:space="preserve">34 </w:t>
      </w:r>
      <w:r>
        <w:rPr>
          <w:rFonts w:hint="eastAsia" w:ascii="宋体" w:hAnsi="宋体" w:eastAsia="宋体" w:cs="宋体"/>
        </w:rPr>
        <w:t>工程担保</w:t>
      </w:r>
      <w:bookmarkEnd w:id="1206"/>
      <w:bookmarkEnd w:id="1207"/>
      <w:bookmarkEnd w:id="1208"/>
      <w:bookmarkEnd w:id="1209"/>
      <w:bookmarkEnd w:id="1210"/>
      <w:bookmarkEnd w:id="1211"/>
      <w:bookmarkEnd w:id="1212"/>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213" w:name="_Toc67418708"/>
      <w:bookmarkStart w:id="1214" w:name="_Toc305331420"/>
      <w:bookmarkStart w:id="1215" w:name="_Toc29902"/>
      <w:bookmarkStart w:id="1216" w:name="_Toc302635927"/>
      <w:bookmarkStart w:id="1217" w:name="_Toc34909181"/>
      <w:r>
        <w:rPr>
          <w:rFonts w:hint="eastAsia" w:ascii="宋体" w:hAnsi="宋体" w:cs="宋体"/>
          <w:sz w:val="24"/>
          <w:szCs w:val="24"/>
          <w:lang w:val="en-US" w:eastAsia="zh-CN"/>
        </w:rPr>
        <w:t xml:space="preserve">34.1 </w:t>
      </w:r>
      <w:r>
        <w:rPr>
          <w:rFonts w:hint="eastAsia" w:ascii="宋体" w:hAnsi="宋体" w:eastAsia="宋体" w:cs="宋体"/>
          <w:sz w:val="24"/>
          <w:szCs w:val="24"/>
        </w:rPr>
        <w:t>履约担保</w:t>
      </w:r>
      <w:bookmarkEnd w:id="1213"/>
      <w:bookmarkEnd w:id="1214"/>
      <w:bookmarkEnd w:id="1215"/>
      <w:bookmarkEnd w:id="1216"/>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⑴承包人应按</w:t>
      </w:r>
      <w:r>
        <w:rPr>
          <w:rFonts w:hint="eastAsia" w:ascii="宋体" w:hAnsi="宋体" w:eastAsia="宋体" w:cs="宋体"/>
          <w:b/>
          <w:i/>
          <w:kern w:val="0"/>
        </w:rPr>
        <w:t>专用条款</w:t>
      </w:r>
      <w:r>
        <w:rPr>
          <w:rFonts w:hint="eastAsia" w:ascii="宋体" w:hAnsi="宋体" w:eastAsia="宋体" w:cs="宋体"/>
          <w:kern w:val="0"/>
        </w:rPr>
        <w:t>约定的金额和方式向发包人提交履约担保，履约担保应由保证人(银行、保险公司、担保公司)出具。</w:t>
      </w:r>
      <w:bookmarkEnd w:id="1217"/>
    </w:p>
    <w:p>
      <w:pPr>
        <w:tabs>
          <w:tab w:val="left" w:pos="1620"/>
          <w:tab w:val="left" w:pos="2340"/>
        </w:tabs>
        <w:spacing w:after="156"/>
        <w:ind w:left="899"/>
        <w:jc w:val="left"/>
        <w:rPr>
          <w:rFonts w:hint="eastAsia" w:ascii="宋体" w:hAnsi="宋体" w:eastAsia="宋体" w:cs="宋体"/>
          <w:kern w:val="0"/>
        </w:rPr>
      </w:pPr>
      <w:bookmarkStart w:id="1218" w:name="_Toc34909184"/>
      <w:bookmarkStart w:id="1219" w:name="_Toc34909182"/>
      <w:r>
        <w:rPr>
          <w:rFonts w:hint="eastAsia" w:ascii="宋体" w:hAnsi="宋体" w:eastAsia="宋体" w:cs="宋体"/>
          <w:kern w:val="0"/>
        </w:rPr>
        <w:t>⑵履约担保的有效期应截止到本工程竣工验收合格之日。本工程实际竣工验收合格之日之前履约担保的有效期已过的，承包人应及时续保。发包人应在本工程实际竣工验收合格之日后14天内将履约担保退还给承包人。</w:t>
      </w:r>
      <w:bookmarkEnd w:id="1218"/>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220" w:name="_Toc302635928"/>
      <w:bookmarkStart w:id="1221" w:name="_Toc20945"/>
      <w:bookmarkStart w:id="1222" w:name="_Toc305331421"/>
      <w:bookmarkStart w:id="1223" w:name="_Toc67418709"/>
      <w:r>
        <w:rPr>
          <w:rFonts w:hint="eastAsia" w:ascii="宋体" w:hAnsi="宋体" w:cs="宋体"/>
          <w:sz w:val="24"/>
          <w:szCs w:val="24"/>
          <w:lang w:val="en-US" w:eastAsia="zh-CN"/>
        </w:rPr>
        <w:t xml:space="preserve">34.2 </w:t>
      </w:r>
      <w:r>
        <w:rPr>
          <w:rFonts w:hint="eastAsia" w:ascii="宋体" w:hAnsi="宋体" w:eastAsia="宋体" w:cs="宋体"/>
          <w:sz w:val="24"/>
          <w:szCs w:val="24"/>
        </w:rPr>
        <w:t>支付担保</w:t>
      </w:r>
      <w:bookmarkEnd w:id="1220"/>
      <w:bookmarkEnd w:id="1221"/>
      <w:bookmarkEnd w:id="1222"/>
      <w:bookmarkEnd w:id="1223"/>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⑴发包人和承包人在签订本合同的同时，发包人应按</w:t>
      </w:r>
      <w:r>
        <w:rPr>
          <w:rFonts w:hint="eastAsia" w:ascii="宋体" w:hAnsi="宋体" w:eastAsia="宋体" w:cs="宋体"/>
          <w:b/>
          <w:i/>
          <w:kern w:val="0"/>
        </w:rPr>
        <w:t>专用条款</w:t>
      </w:r>
      <w:r>
        <w:rPr>
          <w:rFonts w:hint="eastAsia" w:ascii="宋体" w:hAnsi="宋体" w:eastAsia="宋体" w:cs="宋体"/>
          <w:kern w:val="0"/>
        </w:rPr>
        <w:t>约定的金额和方式向承包人提交支付担保，支付担保应由保证人(银行、保险公司、担保公司)出具。</w:t>
      </w:r>
      <w:bookmarkEnd w:id="1219"/>
    </w:p>
    <w:p>
      <w:pPr>
        <w:tabs>
          <w:tab w:val="left" w:pos="1620"/>
          <w:tab w:val="left" w:pos="2340"/>
        </w:tabs>
        <w:spacing w:after="156"/>
        <w:ind w:left="899"/>
        <w:jc w:val="left"/>
        <w:rPr>
          <w:rFonts w:hint="eastAsia" w:ascii="宋体" w:hAnsi="宋体" w:eastAsia="宋体" w:cs="宋体"/>
          <w:kern w:val="0"/>
        </w:rPr>
      </w:pPr>
      <w:bookmarkStart w:id="1224" w:name="_Toc34909185"/>
      <w:r>
        <w:rPr>
          <w:rFonts w:hint="eastAsia" w:ascii="宋体" w:hAnsi="宋体" w:eastAsia="宋体" w:cs="宋体"/>
          <w:kern w:val="0"/>
        </w:rPr>
        <w:t>⑵支付担保的有效期应截止到发包人根据本合同约定完成了除质量保证金以外的全部工程结算款项支付之日。上述款项实际完成支付之前支付担保的有效期已过的，发包人应及时续保。承包人应在上述款项实际完成支付之日后14天内将支付担保退还发包人。</w:t>
      </w:r>
      <w:bookmarkEnd w:id="1224"/>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225" w:name="_Toc67418710"/>
      <w:bookmarkStart w:id="1226" w:name="_Toc302635929"/>
      <w:bookmarkStart w:id="1227" w:name="_Toc305331422"/>
      <w:bookmarkStart w:id="1228" w:name="_Toc10194"/>
      <w:bookmarkStart w:id="1229" w:name="_Toc34909186"/>
      <w:r>
        <w:rPr>
          <w:rFonts w:hint="eastAsia" w:ascii="宋体" w:hAnsi="宋体" w:cs="宋体"/>
          <w:sz w:val="24"/>
          <w:szCs w:val="24"/>
          <w:lang w:val="en-US" w:eastAsia="zh-CN"/>
        </w:rPr>
        <w:t xml:space="preserve">34.3 </w:t>
      </w:r>
      <w:r>
        <w:rPr>
          <w:rFonts w:hint="eastAsia" w:ascii="宋体" w:hAnsi="宋体" w:eastAsia="宋体" w:cs="宋体"/>
          <w:sz w:val="24"/>
          <w:szCs w:val="24"/>
        </w:rPr>
        <w:t>保证人支付索赔款项</w:t>
      </w:r>
      <w:bookmarkEnd w:id="1225"/>
      <w:bookmarkEnd w:id="1226"/>
      <w:bookmarkEnd w:id="1227"/>
      <w:bookmarkEnd w:id="1228"/>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如承包人在履行本合同中，由于资金、技术、质量或非不可抗力等原因给发包人造成损失时，在履约担保书的有效期内，发包人应书面通知承包人，说明导致索赔的原因，并及时向保证人提出索赔文件，保证人应无条件就担保金额向发包人支付索赔款项，无须征得承包人的同意。</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如发包人在履行本合同中，由于资金不足或非不可抗力等原因给承包人造成损失时，在支付担保书的有效期内，承包人应书面通知发包人，说明导致索赔的原因，并及时向保证人提出索赔文件，保证人应无条件就担保金额向承包人支付索赔款项，无须征得发包人的同意。</w:t>
      </w:r>
    </w:p>
    <w:bookmarkEnd w:id="1229"/>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230" w:name="_Toc302635930"/>
      <w:bookmarkStart w:id="1231" w:name="_Toc67418711"/>
      <w:bookmarkStart w:id="1232" w:name="_Toc19748"/>
      <w:bookmarkStart w:id="1233" w:name="_Toc305331423"/>
      <w:r>
        <w:rPr>
          <w:rFonts w:hint="eastAsia" w:ascii="宋体" w:hAnsi="宋体" w:cs="宋体"/>
          <w:sz w:val="24"/>
          <w:szCs w:val="24"/>
          <w:lang w:val="en-US" w:eastAsia="zh-CN"/>
        </w:rPr>
        <w:t xml:space="preserve">34.4 </w:t>
      </w:r>
      <w:r>
        <w:rPr>
          <w:rFonts w:hint="eastAsia" w:ascii="宋体" w:hAnsi="宋体" w:eastAsia="宋体" w:cs="宋体"/>
          <w:sz w:val="24"/>
          <w:szCs w:val="24"/>
        </w:rPr>
        <w:t>留置或追加支付担保</w:t>
      </w:r>
      <w:bookmarkEnd w:id="1230"/>
      <w:bookmarkEnd w:id="1231"/>
      <w:bookmarkEnd w:id="1232"/>
      <w:bookmarkEnd w:id="1233"/>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在工程竣工验收时，承包人可留置与预计未结算工程价款当的标的物，或者要求发包人提供追加支付担保。追加支付担保金额由应发包人和承包人根据预计未结算工程价款款额按34.2⑴款约定确定。追加支付担保的办理及索赔程序同支付担保。</w:t>
      </w:r>
    </w:p>
    <w:p>
      <w:pPr>
        <w:pStyle w:val="2"/>
        <w:keepNext w:val="0"/>
        <w:keepLines w:val="0"/>
        <w:widowControl w:val="0"/>
        <w:tabs>
          <w:tab w:val="left" w:pos="720"/>
          <w:tab w:val="left" w:pos="1620"/>
          <w:tab w:val="left" w:pos="2340"/>
        </w:tabs>
        <w:spacing w:before="240" w:after="120"/>
        <w:ind w:left="178" w:firstLine="0"/>
        <w:rPr>
          <w:rFonts w:hint="eastAsia" w:ascii="宋体" w:hAnsi="宋体" w:eastAsia="宋体" w:cs="宋体"/>
        </w:rPr>
      </w:pPr>
      <w:bookmarkStart w:id="1234" w:name="_Toc34909187"/>
      <w:bookmarkStart w:id="1235" w:name="_Toc23518"/>
      <w:bookmarkStart w:id="1236" w:name="_Toc35657012"/>
      <w:bookmarkStart w:id="1237" w:name="_Toc67418712"/>
      <w:bookmarkStart w:id="1238" w:name="_Toc305331424"/>
      <w:bookmarkStart w:id="1239" w:name="_Toc302635931"/>
      <w:bookmarkStart w:id="1240" w:name="_Toc35656510"/>
      <w:r>
        <w:rPr>
          <w:rFonts w:hint="eastAsia" w:ascii="宋体" w:cs="宋体"/>
          <w:lang w:val="en-US" w:eastAsia="zh-CN"/>
        </w:rPr>
        <w:t xml:space="preserve">35 </w:t>
      </w:r>
      <w:r>
        <w:rPr>
          <w:rFonts w:hint="eastAsia" w:ascii="宋体" w:hAnsi="宋体" w:eastAsia="宋体" w:cs="宋体"/>
        </w:rPr>
        <w:t>合同的生效、终止和解除</w:t>
      </w:r>
      <w:bookmarkEnd w:id="1234"/>
      <w:bookmarkEnd w:id="1235"/>
      <w:bookmarkEnd w:id="1236"/>
      <w:bookmarkEnd w:id="1237"/>
      <w:bookmarkEnd w:id="1238"/>
      <w:bookmarkEnd w:id="1239"/>
      <w:bookmarkEnd w:id="1240"/>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241" w:name="_Toc302635932"/>
      <w:bookmarkStart w:id="1242" w:name="_Toc67418713"/>
      <w:bookmarkStart w:id="1243" w:name="_Toc5522"/>
      <w:bookmarkStart w:id="1244" w:name="_Toc305331425"/>
      <w:bookmarkStart w:id="1245" w:name="_Toc34909189"/>
      <w:r>
        <w:rPr>
          <w:rFonts w:hint="eastAsia" w:ascii="宋体" w:hAnsi="宋体" w:cs="宋体"/>
          <w:sz w:val="24"/>
          <w:szCs w:val="24"/>
          <w:lang w:val="en-US" w:eastAsia="zh-CN"/>
        </w:rPr>
        <w:t xml:space="preserve">35.1 </w:t>
      </w:r>
      <w:r>
        <w:rPr>
          <w:rFonts w:hint="eastAsia" w:ascii="宋体" w:hAnsi="宋体" w:eastAsia="宋体" w:cs="宋体"/>
          <w:sz w:val="24"/>
          <w:szCs w:val="24"/>
        </w:rPr>
        <w:t>合同的生效</w:t>
      </w:r>
      <w:bookmarkEnd w:id="1241"/>
      <w:bookmarkEnd w:id="1242"/>
      <w:bookmarkEnd w:id="1243"/>
      <w:bookmarkEnd w:id="1244"/>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发包人和承包人在协议书中约定本合同生效的方式。</w:t>
      </w:r>
      <w:bookmarkEnd w:id="1245"/>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246" w:name="_Toc67418714"/>
      <w:bookmarkStart w:id="1247" w:name="_Toc305331426"/>
      <w:bookmarkStart w:id="1248" w:name="_Toc20739"/>
      <w:bookmarkStart w:id="1249" w:name="_Toc302635933"/>
      <w:bookmarkStart w:id="1250" w:name="_Toc34909190"/>
      <w:r>
        <w:rPr>
          <w:rFonts w:hint="eastAsia" w:ascii="宋体" w:hAnsi="宋体" w:cs="宋体"/>
          <w:sz w:val="24"/>
          <w:szCs w:val="24"/>
          <w:lang w:val="en-US" w:eastAsia="zh-CN"/>
        </w:rPr>
        <w:t xml:space="preserve">35.2 </w:t>
      </w:r>
      <w:r>
        <w:rPr>
          <w:rFonts w:hint="eastAsia" w:ascii="宋体" w:hAnsi="宋体" w:eastAsia="宋体" w:cs="宋体"/>
          <w:sz w:val="24"/>
          <w:szCs w:val="24"/>
        </w:rPr>
        <w:t>合同的终止</w:t>
      </w:r>
      <w:bookmarkEnd w:id="1246"/>
      <w:bookmarkEnd w:id="1247"/>
      <w:bookmarkEnd w:id="1248"/>
      <w:bookmarkEnd w:id="1249"/>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⑴除第30条有关争议及第31条有关缺陷责任外，发包人和承包人履行本合同全部义务，工程竣工交付完毕，工程竣工结算价款支付完毕，本合同即告终止。</w:t>
      </w:r>
      <w:bookmarkEnd w:id="1250"/>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⑵本合同的权利义务终止后，发包人和承包人应遵循诚实信用原则，履行通知、协助、保密等义务。</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251" w:name="_Toc302635934"/>
      <w:bookmarkStart w:id="1252" w:name="_Toc305331427"/>
      <w:bookmarkStart w:id="1253" w:name="_Toc67418715"/>
      <w:bookmarkStart w:id="1254" w:name="_Toc22135"/>
      <w:bookmarkStart w:id="1255" w:name="_Toc34909192"/>
      <w:r>
        <w:rPr>
          <w:rFonts w:hint="eastAsia" w:ascii="宋体" w:hAnsi="宋体" w:cs="宋体"/>
          <w:sz w:val="24"/>
          <w:szCs w:val="24"/>
          <w:lang w:val="en-US" w:eastAsia="zh-CN"/>
        </w:rPr>
        <w:t xml:space="preserve">35.3 </w:t>
      </w:r>
      <w:r>
        <w:rPr>
          <w:rFonts w:hint="eastAsia" w:ascii="宋体" w:hAnsi="宋体" w:eastAsia="宋体" w:cs="宋体"/>
          <w:sz w:val="24"/>
          <w:szCs w:val="24"/>
        </w:rPr>
        <w:t>解除合同的情形</w:t>
      </w:r>
      <w:bookmarkEnd w:id="1251"/>
      <w:bookmarkEnd w:id="1252"/>
      <w:bookmarkEnd w:id="1253"/>
      <w:bookmarkEnd w:id="1254"/>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⑴发包人和承包人协商一致，可以解除合同。</w:t>
      </w:r>
      <w:bookmarkEnd w:id="1255"/>
    </w:p>
    <w:p>
      <w:pPr>
        <w:tabs>
          <w:tab w:val="left" w:pos="1620"/>
          <w:tab w:val="left" w:pos="2340"/>
        </w:tabs>
        <w:spacing w:after="156"/>
        <w:ind w:left="899"/>
        <w:jc w:val="left"/>
        <w:rPr>
          <w:rFonts w:hint="eastAsia" w:ascii="宋体" w:hAnsi="宋体" w:eastAsia="宋体" w:cs="宋体"/>
          <w:kern w:val="0"/>
        </w:rPr>
      </w:pPr>
      <w:bookmarkStart w:id="1256" w:name="_Toc34909193"/>
      <w:r>
        <w:rPr>
          <w:rFonts w:hint="eastAsia" w:ascii="宋体" w:hAnsi="宋体" w:eastAsia="宋体" w:cs="宋体"/>
          <w:kern w:val="0"/>
        </w:rPr>
        <w:t>⑵发生第6.1款和第6.2款禁止的情况，承包人将其承包的全部工程或任何部分转让给他人，或者将其承包的全部工程肢解分包，发包人有权解除合同。</w:t>
      </w:r>
      <w:bookmarkEnd w:id="1256"/>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⑶因不可抗力导致合同无法履行连续超过84天或累计超过140天的，发包人和承包人均有权解除合同；</w:t>
      </w:r>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⑷因一方违约(包括因发包人原因造成工程停建或缓建)致使合同无法履行，另一方可以解除合同。</w:t>
      </w:r>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257" w:name="_Toc2677"/>
      <w:bookmarkStart w:id="1258" w:name="_Toc302635935"/>
      <w:bookmarkStart w:id="1259" w:name="_Toc67418716"/>
      <w:bookmarkStart w:id="1260" w:name="_Toc305331428"/>
      <w:bookmarkStart w:id="1261" w:name="_Toc34909195"/>
      <w:r>
        <w:rPr>
          <w:rFonts w:hint="eastAsia" w:ascii="宋体" w:hAnsi="宋体" w:cs="宋体"/>
          <w:sz w:val="24"/>
          <w:szCs w:val="24"/>
          <w:lang w:val="en-US" w:eastAsia="zh-CN"/>
        </w:rPr>
        <w:t xml:space="preserve">35.4 </w:t>
      </w:r>
      <w:r>
        <w:rPr>
          <w:rFonts w:hint="eastAsia" w:ascii="宋体" w:hAnsi="宋体" w:eastAsia="宋体" w:cs="宋体"/>
          <w:sz w:val="24"/>
          <w:szCs w:val="24"/>
        </w:rPr>
        <w:t>解除合同的程序</w:t>
      </w:r>
      <w:bookmarkEnd w:id="1257"/>
      <w:bookmarkEnd w:id="1258"/>
      <w:bookmarkEnd w:id="1259"/>
      <w:bookmarkEnd w:id="1260"/>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⑴发包人和承包人一方按第35.3款要求解除合同的，应以书面形式向对方发出解除合同的通知，双方签订解除合同协议后本合同解除。</w:t>
      </w:r>
      <w:bookmarkEnd w:id="1261"/>
      <w:bookmarkStart w:id="1262" w:name="_Toc34909196"/>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⑵合同解除后，承包人应妥善做好已完工程和已购材料、设备的保护和移交工作，按发包人要求将承包人装备和人员撤出施工场地。发包人应为承包人撤出提供必要条件，支付以上所发生的费用，并按合同约定支付已完工程价款。已经订货的材料、设备由订货方负责退货或解除订货合同，因未及时退货造成的损失由责任方承担。不能退还的货款和因退货、解除订货合同发生的费用，由责任方承担，但是因不可抗力造成合同解除的由发包人承担。除此之外，有过错的一方应赔偿因合同解除给对方造成的损失。</w:t>
      </w:r>
      <w:bookmarkEnd w:id="1262"/>
    </w:p>
    <w:p>
      <w:pPr>
        <w:tabs>
          <w:tab w:val="left" w:pos="1620"/>
          <w:tab w:val="left" w:pos="2340"/>
        </w:tabs>
        <w:spacing w:after="156"/>
        <w:ind w:left="899"/>
        <w:jc w:val="left"/>
        <w:rPr>
          <w:rFonts w:hint="eastAsia" w:ascii="宋体" w:hAnsi="宋体" w:eastAsia="宋体" w:cs="宋体"/>
          <w:kern w:val="0"/>
        </w:rPr>
      </w:pPr>
      <w:bookmarkStart w:id="1263" w:name="_Toc34909197"/>
      <w:r>
        <w:rPr>
          <w:rFonts w:hint="eastAsia" w:ascii="宋体" w:hAnsi="宋体" w:eastAsia="宋体" w:cs="宋体"/>
          <w:kern w:val="0"/>
        </w:rPr>
        <w:t>⑶合同解除后，不影响发包人和承包人在合同中约定的结算和清理条款的效力。</w:t>
      </w:r>
      <w:bookmarkEnd w:id="1263"/>
    </w:p>
    <w:p>
      <w:pPr>
        <w:pStyle w:val="2"/>
        <w:keepNext w:val="0"/>
        <w:keepLines w:val="0"/>
        <w:widowControl w:val="0"/>
        <w:tabs>
          <w:tab w:val="left" w:pos="720"/>
          <w:tab w:val="left" w:pos="1620"/>
          <w:tab w:val="left" w:pos="2340"/>
        </w:tabs>
        <w:spacing w:before="240" w:after="120"/>
        <w:ind w:left="178" w:firstLine="0"/>
        <w:rPr>
          <w:rFonts w:hint="eastAsia" w:ascii="宋体" w:hAnsi="宋体" w:eastAsia="宋体" w:cs="宋体"/>
        </w:rPr>
      </w:pPr>
      <w:bookmarkStart w:id="1264" w:name="_Toc67418717"/>
      <w:bookmarkStart w:id="1265" w:name="_Toc35657015"/>
      <w:bookmarkStart w:id="1266" w:name="_Toc7770"/>
      <w:bookmarkStart w:id="1267" w:name="_Toc35656513"/>
      <w:bookmarkStart w:id="1268" w:name="_Toc34909198"/>
      <w:bookmarkStart w:id="1269" w:name="_Toc305331429"/>
      <w:bookmarkStart w:id="1270" w:name="_Toc302635936"/>
      <w:r>
        <w:rPr>
          <w:rFonts w:hint="eastAsia" w:ascii="宋体" w:cs="宋体"/>
          <w:lang w:val="en-US" w:eastAsia="zh-CN"/>
        </w:rPr>
        <w:t xml:space="preserve">36 </w:t>
      </w:r>
      <w:r>
        <w:rPr>
          <w:rFonts w:hint="eastAsia" w:ascii="宋体" w:hAnsi="宋体" w:eastAsia="宋体" w:cs="宋体"/>
        </w:rPr>
        <w:t>合同份数</w:t>
      </w:r>
      <w:bookmarkEnd w:id="1264"/>
      <w:bookmarkEnd w:id="1265"/>
      <w:bookmarkEnd w:id="1266"/>
      <w:bookmarkEnd w:id="1267"/>
      <w:bookmarkEnd w:id="1268"/>
      <w:bookmarkEnd w:id="1269"/>
      <w:bookmarkEnd w:id="1270"/>
    </w:p>
    <w:p>
      <w:pPr>
        <w:pStyle w:val="3"/>
        <w:tabs>
          <w:tab w:val="left" w:pos="540"/>
          <w:tab w:val="left" w:pos="900"/>
        </w:tabs>
        <w:spacing w:before="120" w:after="156"/>
        <w:ind w:left="359" w:firstLine="0"/>
        <w:jc w:val="left"/>
        <w:rPr>
          <w:rFonts w:hint="eastAsia" w:ascii="宋体" w:hAnsi="宋体" w:eastAsia="宋体" w:cs="宋体"/>
          <w:sz w:val="24"/>
          <w:szCs w:val="24"/>
        </w:rPr>
      </w:pPr>
      <w:bookmarkStart w:id="1271" w:name="_Toc305331430"/>
      <w:bookmarkStart w:id="1272" w:name="_Toc7226"/>
      <w:bookmarkStart w:id="1273" w:name="_Toc67418718"/>
      <w:bookmarkStart w:id="1274" w:name="_Toc302635937"/>
      <w:bookmarkStart w:id="1275" w:name="_Toc34909199"/>
      <w:r>
        <w:rPr>
          <w:rFonts w:hint="eastAsia" w:ascii="宋体" w:hAnsi="宋体" w:cs="宋体"/>
          <w:sz w:val="24"/>
          <w:szCs w:val="24"/>
          <w:lang w:val="en-US" w:eastAsia="zh-CN"/>
        </w:rPr>
        <w:t xml:space="preserve">36.1 </w:t>
      </w:r>
      <w:r>
        <w:rPr>
          <w:rFonts w:hint="eastAsia" w:ascii="宋体" w:hAnsi="宋体" w:eastAsia="宋体" w:cs="宋体"/>
          <w:sz w:val="24"/>
          <w:szCs w:val="24"/>
        </w:rPr>
        <w:t>合同份数</w:t>
      </w:r>
      <w:bookmarkEnd w:id="1271"/>
      <w:bookmarkEnd w:id="1272"/>
      <w:bookmarkEnd w:id="1273"/>
      <w:bookmarkEnd w:id="1274"/>
    </w:p>
    <w:p>
      <w:pPr>
        <w:tabs>
          <w:tab w:val="left" w:pos="1620"/>
          <w:tab w:val="left" w:pos="2340"/>
        </w:tabs>
        <w:spacing w:after="156"/>
        <w:ind w:left="899"/>
        <w:jc w:val="left"/>
        <w:rPr>
          <w:rFonts w:hint="eastAsia" w:ascii="宋体" w:hAnsi="宋体" w:eastAsia="宋体" w:cs="宋体"/>
          <w:kern w:val="0"/>
        </w:rPr>
      </w:pPr>
      <w:r>
        <w:rPr>
          <w:rFonts w:hint="eastAsia" w:ascii="宋体" w:hAnsi="宋体" w:eastAsia="宋体" w:cs="宋体"/>
          <w:kern w:val="0"/>
        </w:rPr>
        <w:t>⑴本合同正本两份，由发包人和承包人分别保存一份。</w:t>
      </w:r>
      <w:bookmarkEnd w:id="1275"/>
      <w:bookmarkStart w:id="1276" w:name="_Toc34909200"/>
    </w:p>
    <w:p>
      <w:pPr>
        <w:tabs>
          <w:tab w:val="left" w:pos="1620"/>
          <w:tab w:val="left" w:pos="2340"/>
        </w:tabs>
        <w:spacing w:after="156"/>
        <w:ind w:left="899"/>
        <w:jc w:val="left"/>
        <w:rPr>
          <w:rFonts w:hint="eastAsia" w:ascii="宋体" w:hAnsi="宋体" w:eastAsia="宋体" w:cs="宋体"/>
        </w:rPr>
      </w:pPr>
      <w:r>
        <w:rPr>
          <w:rFonts w:hint="eastAsia" w:ascii="宋体" w:hAnsi="宋体" w:eastAsia="宋体" w:cs="宋体"/>
          <w:kern w:val="0"/>
        </w:rPr>
        <w:t>⑵发包人和承包人按有关规定在</w:t>
      </w:r>
      <w:r>
        <w:rPr>
          <w:rFonts w:hint="eastAsia" w:ascii="宋体" w:hAnsi="宋体" w:eastAsia="宋体" w:cs="宋体"/>
          <w:b/>
          <w:i/>
          <w:kern w:val="0"/>
        </w:rPr>
        <w:t>专用条款</w:t>
      </w:r>
      <w:r>
        <w:rPr>
          <w:rFonts w:hint="eastAsia" w:ascii="宋体" w:hAnsi="宋体" w:eastAsia="宋体" w:cs="宋体"/>
          <w:kern w:val="0"/>
        </w:rPr>
        <w:t>中约定本合同副本的份数及保存单位，本合同正副本均具有同等效力。</w:t>
      </w:r>
      <w:bookmarkEnd w:id="1276"/>
      <w:r>
        <w:rPr>
          <w:rFonts w:hint="eastAsia" w:ascii="宋体" w:hAnsi="宋体" w:eastAsia="宋体" w:cs="宋体"/>
        </w:rPr>
        <w:br w:type="page"/>
      </w:r>
    </w:p>
    <w:p>
      <w:pPr>
        <w:pStyle w:val="2"/>
        <w:keepNext w:val="0"/>
        <w:keepLines w:val="0"/>
        <w:numPr>
          <w:ilvl w:val="0"/>
          <w:numId w:val="0"/>
        </w:numPr>
        <w:jc w:val="center"/>
        <w:rPr>
          <w:rFonts w:hint="eastAsia" w:ascii="宋体" w:hAnsi="宋体" w:eastAsia="宋体" w:cs="宋体"/>
          <w:sz w:val="32"/>
        </w:rPr>
      </w:pPr>
      <w:bookmarkStart w:id="1277" w:name="_Toc305331432"/>
      <w:bookmarkStart w:id="1278" w:name="_Toc302635939"/>
      <w:bookmarkStart w:id="1279" w:name="_Toc23136"/>
      <w:bookmarkStart w:id="1280" w:name="_Toc35656515"/>
      <w:bookmarkStart w:id="1281" w:name="_Toc67418719"/>
      <w:bookmarkStart w:id="1282" w:name="_Toc38943429"/>
      <w:r>
        <w:rPr>
          <w:rFonts w:hint="eastAsia" w:ascii="宋体" w:hAnsi="宋体" w:eastAsia="宋体" w:cs="宋体"/>
          <w:sz w:val="32"/>
        </w:rPr>
        <w:t>第三部分 专用条款</w:t>
      </w:r>
      <w:bookmarkEnd w:id="1277"/>
      <w:bookmarkEnd w:id="1278"/>
      <w:bookmarkEnd w:id="1279"/>
      <w:bookmarkEnd w:id="1280"/>
      <w:bookmarkEnd w:id="1281"/>
    </w:p>
    <w:p>
      <w:pPr>
        <w:pStyle w:val="2"/>
        <w:keepNext w:val="0"/>
        <w:keepLines w:val="0"/>
        <w:numPr>
          <w:ilvl w:val="0"/>
          <w:numId w:val="0"/>
        </w:numPr>
        <w:tabs>
          <w:tab w:val="left" w:pos="1620"/>
          <w:tab w:val="left" w:pos="2340"/>
        </w:tabs>
        <w:spacing w:before="120" w:after="120"/>
        <w:rPr>
          <w:rFonts w:hint="eastAsia" w:ascii="宋体" w:hAnsi="宋体" w:eastAsia="宋体" w:cs="宋体"/>
        </w:rPr>
      </w:pPr>
      <w:bookmarkStart w:id="1283" w:name="_Toc302635940"/>
      <w:bookmarkStart w:id="1284" w:name="_Toc2894"/>
      <w:bookmarkStart w:id="1285" w:name="_Toc67418720"/>
      <w:bookmarkStart w:id="1286" w:name="_Toc35656516"/>
      <w:bookmarkStart w:id="1287" w:name="_Toc305331433"/>
      <w:r>
        <w:rPr>
          <w:rFonts w:hint="eastAsia" w:ascii="宋体" w:hAnsi="宋体" w:eastAsia="宋体" w:cs="宋体"/>
        </w:rPr>
        <w:t>1词语定义</w:t>
      </w:r>
      <w:bookmarkEnd w:id="1283"/>
      <w:bookmarkEnd w:id="1284"/>
      <w:bookmarkEnd w:id="1285"/>
    </w:p>
    <w:p>
      <w:pPr>
        <w:spacing w:line="360" w:lineRule="auto"/>
        <w:ind w:firstLine="480"/>
        <w:rPr>
          <w:rFonts w:hint="eastAsia" w:ascii="宋体" w:hAnsi="宋体" w:eastAsia="宋体" w:cs="宋体"/>
          <w:sz w:val="24"/>
          <w:u w:val="single"/>
        </w:rPr>
      </w:pPr>
      <w:r>
        <w:rPr>
          <w:rFonts w:hint="eastAsia" w:ascii="宋体" w:hAnsi="宋体" w:eastAsia="宋体" w:cs="宋体"/>
          <w:sz w:val="24"/>
        </w:rPr>
        <w:t>发包人和承包人另行约定的词语定义如下：</w:t>
      </w: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ind w:firstLine="480"/>
        <w:rPr>
          <w:rFonts w:hint="eastAsia" w:ascii="宋体" w:hAnsi="宋体" w:eastAsia="宋体" w:cs="宋体"/>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ind w:firstLine="480"/>
        <w:rPr>
          <w:rFonts w:hint="eastAsia" w:ascii="宋体" w:hAnsi="宋体" w:eastAsia="宋体" w:cs="宋体"/>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ind w:firstLine="480"/>
        <w:rPr>
          <w:rFonts w:hint="eastAsia" w:ascii="宋体" w:hAnsi="宋体" w:eastAsia="宋体" w:cs="宋体"/>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ind w:firstLine="480"/>
        <w:rPr>
          <w:rFonts w:hint="eastAsia" w:ascii="宋体" w:hAnsi="宋体" w:eastAsia="宋体" w:cs="宋体"/>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pStyle w:val="3"/>
        <w:numPr>
          <w:ilvl w:val="0"/>
          <w:numId w:val="0"/>
        </w:numPr>
        <w:tabs>
          <w:tab w:val="left" w:pos="540"/>
          <w:tab w:val="left" w:pos="2340"/>
        </w:tabs>
        <w:spacing w:before="120" w:after="156"/>
        <w:ind w:left="180"/>
        <w:jc w:val="left"/>
        <w:rPr>
          <w:rFonts w:hint="eastAsia" w:ascii="宋体" w:hAnsi="宋体" w:eastAsia="宋体" w:cs="宋体"/>
          <w:sz w:val="24"/>
        </w:rPr>
      </w:pPr>
      <w:bookmarkStart w:id="1288" w:name="_Toc15953"/>
      <w:bookmarkStart w:id="1289" w:name="_Toc302635941"/>
      <w:bookmarkStart w:id="1290" w:name="_Toc67418721"/>
      <w:r>
        <w:rPr>
          <w:rFonts w:hint="eastAsia" w:ascii="宋体" w:hAnsi="宋体" w:eastAsia="宋体" w:cs="宋体"/>
          <w:sz w:val="24"/>
        </w:rPr>
        <w:t>1.2 合同文件</w:t>
      </w:r>
      <w:bookmarkEnd w:id="1288"/>
      <w:bookmarkEnd w:id="1289"/>
      <w:bookmarkEnd w:id="1290"/>
    </w:p>
    <w:p>
      <w:pPr>
        <w:spacing w:line="360" w:lineRule="auto"/>
        <w:ind w:firstLine="480"/>
        <w:rPr>
          <w:rFonts w:hint="eastAsia" w:ascii="宋体" w:hAnsi="宋体" w:eastAsia="宋体" w:cs="宋体"/>
          <w:sz w:val="24"/>
          <w:u w:val="single"/>
        </w:rPr>
      </w:pPr>
      <w:r>
        <w:rPr>
          <w:rFonts w:hint="eastAsia" w:ascii="宋体" w:hAnsi="宋体" w:eastAsia="宋体" w:cs="宋体"/>
          <w:sz w:val="24"/>
        </w:rPr>
        <w:t>(6)其他合同文件包括：</w:t>
      </w: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spacing w:line="360" w:lineRule="auto"/>
        <w:ind w:firstLine="480"/>
        <w:rPr>
          <w:rFonts w:hint="eastAsia" w:ascii="宋体" w:hAnsi="宋体" w:eastAsia="宋体" w:cs="宋体"/>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pStyle w:val="3"/>
        <w:numPr>
          <w:ilvl w:val="0"/>
          <w:numId w:val="0"/>
        </w:numPr>
        <w:tabs>
          <w:tab w:val="left" w:pos="540"/>
          <w:tab w:val="left" w:pos="2340"/>
        </w:tabs>
        <w:spacing w:before="120" w:after="156"/>
        <w:ind w:left="180"/>
        <w:jc w:val="left"/>
        <w:rPr>
          <w:rFonts w:hint="eastAsia" w:ascii="宋体" w:hAnsi="宋体" w:eastAsia="宋体" w:cs="宋体"/>
          <w:sz w:val="24"/>
        </w:rPr>
      </w:pPr>
      <w:bookmarkStart w:id="1291" w:name="_Toc31762"/>
      <w:bookmarkStart w:id="1292" w:name="_Toc67418722"/>
      <w:bookmarkStart w:id="1293" w:name="_Toc302635942"/>
      <w:r>
        <w:rPr>
          <w:rFonts w:hint="eastAsia" w:ascii="宋体" w:hAnsi="宋体" w:eastAsia="宋体" w:cs="宋体"/>
          <w:sz w:val="24"/>
        </w:rPr>
        <w:t>1.8 书面形式</w:t>
      </w:r>
      <w:bookmarkEnd w:id="1291"/>
      <w:bookmarkEnd w:id="1292"/>
      <w:bookmarkEnd w:id="1293"/>
    </w:p>
    <w:p>
      <w:pPr>
        <w:spacing w:line="360" w:lineRule="auto"/>
        <w:ind w:firstLine="480"/>
        <w:rPr>
          <w:rFonts w:hint="eastAsia" w:ascii="宋体" w:hAnsi="宋体" w:eastAsia="宋体" w:cs="宋体"/>
          <w:sz w:val="24"/>
          <w:u w:val="single"/>
        </w:rPr>
      </w:pPr>
      <w:r>
        <w:rPr>
          <w:rFonts w:hint="eastAsia" w:ascii="宋体" w:hAnsi="宋体" w:eastAsia="宋体" w:cs="宋体"/>
          <w:sz w:val="24"/>
        </w:rPr>
        <w:t>（2）本合同全部或部分采用手写形式进行填写的，发包人和承包人共同指定的填写人的姓名：</w:t>
      </w:r>
      <w:r>
        <w:rPr>
          <w:rFonts w:hint="eastAsia" w:ascii="宋体" w:hAnsi="宋体" w:eastAsia="宋体" w:cs="宋体"/>
          <w:sz w:val="24"/>
          <w:u w:val="single"/>
        </w:rPr>
        <w:t xml:space="preserve">            </w:t>
      </w:r>
      <w:r>
        <w:rPr>
          <w:rFonts w:hint="eastAsia" w:ascii="宋体" w:hAnsi="宋体" w:eastAsia="宋体" w:cs="宋体"/>
          <w:sz w:val="24"/>
        </w:rPr>
        <w:t>，身份证号码：</w:t>
      </w:r>
      <w:r>
        <w:rPr>
          <w:rFonts w:hint="eastAsia" w:ascii="宋体" w:hAnsi="宋体" w:eastAsia="宋体" w:cs="宋体"/>
          <w:sz w:val="24"/>
          <w:u w:val="single"/>
        </w:rPr>
        <w:t xml:space="preserve">                          </w:t>
      </w:r>
      <w:r>
        <w:rPr>
          <w:rFonts w:hint="eastAsia" w:ascii="宋体" w:hAnsi="宋体" w:eastAsia="宋体" w:cs="宋体"/>
          <w:sz w:val="24"/>
        </w:rPr>
        <w:t>。</w:t>
      </w:r>
    </w:p>
    <w:p>
      <w:pPr>
        <w:pStyle w:val="2"/>
        <w:keepNext w:val="0"/>
        <w:keepLines w:val="0"/>
        <w:numPr>
          <w:ilvl w:val="0"/>
          <w:numId w:val="0"/>
        </w:numPr>
        <w:tabs>
          <w:tab w:val="left" w:pos="1620"/>
          <w:tab w:val="left" w:pos="2340"/>
        </w:tabs>
        <w:spacing w:before="120" w:after="120"/>
        <w:rPr>
          <w:rFonts w:hint="eastAsia" w:ascii="宋体" w:hAnsi="宋体" w:eastAsia="宋体" w:cs="宋体"/>
        </w:rPr>
      </w:pPr>
      <w:bookmarkStart w:id="1294" w:name="_Toc67418723"/>
      <w:bookmarkStart w:id="1295" w:name="_Toc302635943"/>
      <w:bookmarkStart w:id="1296" w:name="_Toc1504"/>
      <w:r>
        <w:rPr>
          <w:rFonts w:hint="eastAsia" w:ascii="宋体" w:hAnsi="宋体" w:eastAsia="宋体" w:cs="宋体"/>
        </w:rPr>
        <w:t>2合同文件</w:t>
      </w:r>
      <w:bookmarkEnd w:id="1286"/>
      <w:bookmarkEnd w:id="1287"/>
      <w:bookmarkEnd w:id="1294"/>
      <w:bookmarkEnd w:id="1295"/>
      <w:bookmarkEnd w:id="1296"/>
    </w:p>
    <w:p>
      <w:pPr>
        <w:pStyle w:val="3"/>
        <w:numPr>
          <w:ilvl w:val="0"/>
          <w:numId w:val="0"/>
        </w:numPr>
        <w:tabs>
          <w:tab w:val="left" w:pos="540"/>
          <w:tab w:val="left" w:pos="2340"/>
        </w:tabs>
        <w:spacing w:before="120" w:after="156"/>
        <w:ind w:left="180"/>
        <w:jc w:val="left"/>
        <w:rPr>
          <w:rFonts w:hint="eastAsia" w:ascii="宋体" w:hAnsi="宋体" w:eastAsia="宋体" w:cs="宋体"/>
          <w:sz w:val="24"/>
          <w:szCs w:val="24"/>
        </w:rPr>
      </w:pPr>
      <w:bookmarkStart w:id="1297" w:name="_Toc67418724"/>
      <w:bookmarkStart w:id="1298" w:name="_Toc302635944"/>
      <w:bookmarkStart w:id="1299" w:name="_Toc2298"/>
      <w:bookmarkStart w:id="1300" w:name="_Toc305331434"/>
      <w:r>
        <w:rPr>
          <w:rFonts w:hint="eastAsia" w:ascii="宋体" w:hAnsi="宋体" w:eastAsia="宋体" w:cs="宋体"/>
          <w:sz w:val="24"/>
        </w:rPr>
        <w:t xml:space="preserve">2.4 </w:t>
      </w:r>
      <w:r>
        <w:rPr>
          <w:rFonts w:hint="eastAsia" w:ascii="宋体" w:hAnsi="宋体" w:eastAsia="宋体" w:cs="宋体"/>
          <w:sz w:val="24"/>
          <w:szCs w:val="24"/>
        </w:rPr>
        <w:t>法律、法规和规章</w:t>
      </w:r>
      <w:bookmarkEnd w:id="1297"/>
      <w:bookmarkEnd w:id="1298"/>
      <w:bookmarkEnd w:id="1299"/>
      <w:bookmarkEnd w:id="1300"/>
    </w:p>
    <w:p>
      <w:pPr>
        <w:spacing w:line="360" w:lineRule="auto"/>
        <w:ind w:firstLine="480"/>
        <w:rPr>
          <w:rFonts w:hint="eastAsia" w:ascii="宋体" w:hAnsi="宋体" w:eastAsia="宋体" w:cs="宋体"/>
          <w:sz w:val="24"/>
          <w:u w:val="single"/>
        </w:rPr>
      </w:pPr>
      <w:r>
        <w:rPr>
          <w:rFonts w:hint="eastAsia" w:ascii="宋体" w:hAnsi="宋体" w:eastAsia="宋体" w:cs="宋体"/>
          <w:sz w:val="24"/>
        </w:rPr>
        <w:t>需要明示的法律、法规、规章：</w:t>
      </w: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spacing w:line="360" w:lineRule="auto"/>
        <w:ind w:firstLine="480"/>
        <w:rPr>
          <w:rFonts w:hint="eastAsia" w:ascii="宋体" w:hAnsi="宋体" w:eastAsia="宋体" w:cs="宋体"/>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spacing w:line="360" w:lineRule="auto"/>
        <w:ind w:firstLine="480"/>
        <w:rPr>
          <w:rFonts w:hint="eastAsia" w:ascii="宋体" w:hAnsi="宋体" w:eastAsia="宋体" w:cs="宋体"/>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spacing w:line="360" w:lineRule="auto"/>
        <w:ind w:firstLine="480"/>
        <w:rPr>
          <w:rFonts w:hint="eastAsia" w:ascii="宋体" w:hAnsi="宋体" w:eastAsia="宋体" w:cs="宋体"/>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pStyle w:val="3"/>
        <w:numPr>
          <w:ilvl w:val="0"/>
          <w:numId w:val="0"/>
        </w:numPr>
        <w:tabs>
          <w:tab w:val="left" w:pos="540"/>
          <w:tab w:val="left" w:pos="2340"/>
          <w:tab w:val="left" w:pos="4032"/>
        </w:tabs>
        <w:spacing w:before="120" w:after="156"/>
        <w:ind w:left="180"/>
        <w:jc w:val="left"/>
        <w:rPr>
          <w:rFonts w:hint="eastAsia" w:ascii="宋体" w:hAnsi="宋体" w:eastAsia="宋体" w:cs="宋体"/>
          <w:sz w:val="24"/>
        </w:rPr>
      </w:pPr>
      <w:bookmarkStart w:id="1301" w:name="_Toc302635945"/>
      <w:bookmarkStart w:id="1302" w:name="_Toc67418725"/>
      <w:bookmarkStart w:id="1303" w:name="_Toc305331435"/>
      <w:bookmarkStart w:id="1304" w:name="_Toc8464"/>
      <w:bookmarkStart w:id="1305" w:name="_Toc35656521"/>
      <w:r>
        <w:rPr>
          <w:rFonts w:hint="eastAsia" w:ascii="宋体" w:hAnsi="宋体" w:eastAsia="宋体" w:cs="宋体"/>
          <w:sz w:val="24"/>
        </w:rPr>
        <w:t>2.5标准、规范</w:t>
      </w:r>
      <w:bookmarkEnd w:id="1301"/>
      <w:bookmarkEnd w:id="1302"/>
      <w:bookmarkEnd w:id="1303"/>
      <w:bookmarkEnd w:id="1304"/>
    </w:p>
    <w:p>
      <w:pPr>
        <w:spacing w:line="360" w:lineRule="auto"/>
        <w:ind w:firstLine="480"/>
        <w:rPr>
          <w:rFonts w:hint="eastAsia" w:ascii="宋体" w:hAnsi="宋体" w:eastAsia="宋体" w:cs="宋体"/>
          <w:sz w:val="24"/>
          <w:u w:val="single"/>
        </w:rPr>
      </w:pPr>
      <w:r>
        <w:rPr>
          <w:rFonts w:hint="eastAsia" w:ascii="宋体" w:hAnsi="宋体" w:eastAsia="宋体" w:cs="宋体"/>
          <w:sz w:val="24"/>
        </w:rPr>
        <w:t xml:space="preserve">(2)技术标准、功能要求高于现行国家、行业或地方标准的约定： </w:t>
      </w:r>
      <w:r>
        <w:rPr>
          <w:rFonts w:hint="eastAsia" w:ascii="宋体" w:hAnsi="宋体" w:eastAsia="宋体" w:cs="宋体"/>
          <w:sz w:val="24"/>
          <w:u w:val="single"/>
        </w:rPr>
        <w:t xml:space="preserve">                               </w:t>
      </w:r>
    </w:p>
    <w:p>
      <w:pPr>
        <w:spacing w:line="360" w:lineRule="auto"/>
        <w:ind w:firstLine="480"/>
        <w:rPr>
          <w:rFonts w:hint="eastAsia" w:ascii="宋体" w:hAnsi="宋体" w:eastAsia="宋体" w:cs="宋体"/>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spacing w:line="360" w:lineRule="auto"/>
        <w:ind w:firstLine="480"/>
        <w:rPr>
          <w:rFonts w:hint="eastAsia" w:ascii="宋体" w:hAnsi="宋体" w:eastAsia="宋体" w:cs="宋体"/>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spacing w:line="360" w:lineRule="auto"/>
        <w:ind w:firstLine="480"/>
        <w:rPr>
          <w:rFonts w:hint="eastAsia" w:ascii="宋体" w:hAnsi="宋体" w:eastAsia="宋体" w:cs="宋体"/>
          <w:sz w:val="24"/>
        </w:rPr>
      </w:pPr>
      <w:r>
        <w:rPr>
          <w:rFonts w:hint="eastAsia" w:ascii="宋体" w:hAnsi="宋体" w:eastAsia="宋体" w:cs="宋体"/>
          <w:sz w:val="24"/>
        </w:rPr>
        <w:t>(4)用于本工程的标准、规范的提供方式：</w:t>
      </w:r>
    </w:p>
    <w:p>
      <w:pPr>
        <w:spacing w:line="360" w:lineRule="auto"/>
        <w:ind w:firstLine="480"/>
        <w:rPr>
          <w:rFonts w:hint="eastAsia" w:ascii="宋体" w:hAnsi="宋体" w:eastAsia="宋体" w:cs="宋体"/>
          <w:sz w:val="24"/>
        </w:rPr>
      </w:pPr>
      <w:r>
        <w:rPr>
          <w:rFonts w:hint="eastAsia" w:ascii="宋体" w:hAnsi="宋体" w:eastAsia="宋体" w:cs="宋体"/>
          <w:sz w:val="24"/>
        </w:rPr>
        <w:drawing>
          <wp:inline distT="0" distB="0" distL="114300" distR="114300">
            <wp:extent cx="152400" cy="142875"/>
            <wp:effectExtent l="0" t="0" r="0" b="9525"/>
            <wp:docPr id="169"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图片 95"/>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sz w:val="24"/>
        </w:rPr>
        <w:t>由发包人在本合同签订后</w:t>
      </w:r>
      <w:r>
        <w:rPr>
          <w:rFonts w:hint="eastAsia" w:ascii="宋体" w:hAnsi="宋体" w:eastAsia="宋体" w:cs="宋体"/>
          <w:sz w:val="24"/>
          <w:u w:val="single"/>
        </w:rPr>
        <w:t xml:space="preserve">    </w:t>
      </w:r>
      <w:r>
        <w:rPr>
          <w:rFonts w:hint="eastAsia" w:ascii="宋体" w:hAnsi="宋体" w:eastAsia="宋体" w:cs="宋体"/>
          <w:sz w:val="24"/>
        </w:rPr>
        <w:t>天内向承包人提供</w:t>
      </w:r>
      <w:r>
        <w:rPr>
          <w:rFonts w:hint="eastAsia" w:ascii="宋体" w:hAnsi="宋体" w:eastAsia="宋体" w:cs="宋体"/>
          <w:sz w:val="24"/>
          <w:u w:val="single"/>
        </w:rPr>
        <w:t xml:space="preserve">    </w:t>
      </w:r>
      <w:r>
        <w:rPr>
          <w:rFonts w:hint="eastAsia" w:ascii="宋体" w:hAnsi="宋体" w:eastAsia="宋体" w:cs="宋体"/>
          <w:sz w:val="24"/>
        </w:rPr>
        <w:t>套标准、规范；</w:t>
      </w:r>
    </w:p>
    <w:p>
      <w:pPr>
        <w:spacing w:line="360" w:lineRule="auto"/>
        <w:ind w:firstLine="480"/>
        <w:rPr>
          <w:rFonts w:hint="eastAsia" w:ascii="宋体" w:hAnsi="宋体" w:eastAsia="宋体" w:cs="宋体"/>
          <w:sz w:val="24"/>
        </w:rPr>
      </w:pPr>
      <w:r>
        <w:rPr>
          <w:rFonts w:hint="eastAsia" w:ascii="宋体" w:hAnsi="宋体" w:eastAsia="宋体" w:cs="宋体"/>
          <w:sz w:val="24"/>
        </w:rPr>
        <w:drawing>
          <wp:inline distT="0" distB="0" distL="114300" distR="114300">
            <wp:extent cx="152400" cy="142875"/>
            <wp:effectExtent l="0" t="0" r="0" b="9525"/>
            <wp:docPr id="173"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图片 96"/>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sz w:val="24"/>
        </w:rPr>
        <w:t>由承包人自备。</w:t>
      </w:r>
    </w:p>
    <w:p>
      <w:pPr>
        <w:pStyle w:val="3"/>
        <w:numPr>
          <w:ilvl w:val="0"/>
          <w:numId w:val="0"/>
        </w:numPr>
        <w:tabs>
          <w:tab w:val="left" w:pos="540"/>
          <w:tab w:val="left" w:pos="2340"/>
          <w:tab w:val="left" w:pos="4032"/>
        </w:tabs>
        <w:spacing w:before="120" w:after="156"/>
        <w:ind w:left="180"/>
        <w:jc w:val="left"/>
        <w:rPr>
          <w:rFonts w:hint="eastAsia" w:ascii="宋体" w:hAnsi="宋体" w:eastAsia="宋体" w:cs="宋体"/>
          <w:sz w:val="24"/>
        </w:rPr>
      </w:pPr>
      <w:bookmarkStart w:id="1306" w:name="_Toc302635946"/>
      <w:bookmarkStart w:id="1307" w:name="_Toc67418726"/>
      <w:bookmarkStart w:id="1308" w:name="_Toc11218"/>
      <w:bookmarkStart w:id="1309" w:name="_Toc305331436"/>
      <w:r>
        <w:rPr>
          <w:rFonts w:hint="eastAsia" w:ascii="宋体" w:hAnsi="宋体" w:eastAsia="宋体" w:cs="宋体"/>
          <w:sz w:val="24"/>
        </w:rPr>
        <w:t>2.6图纸和技术资料的提供</w:t>
      </w:r>
      <w:bookmarkEnd w:id="1306"/>
      <w:bookmarkEnd w:id="1307"/>
      <w:bookmarkEnd w:id="1308"/>
      <w:bookmarkEnd w:id="1309"/>
    </w:p>
    <w:p>
      <w:pPr>
        <w:spacing w:line="360" w:lineRule="auto"/>
        <w:ind w:firstLine="480"/>
        <w:rPr>
          <w:rFonts w:hint="eastAsia" w:ascii="宋体" w:hAnsi="宋体" w:eastAsia="宋体" w:cs="宋体"/>
          <w:sz w:val="24"/>
        </w:rPr>
      </w:pPr>
      <w:r>
        <w:rPr>
          <w:rFonts w:hint="eastAsia" w:ascii="宋体" w:hAnsi="宋体" w:eastAsia="宋体" w:cs="宋体"/>
          <w:sz w:val="24"/>
        </w:rPr>
        <w:t>(1)发包人应在本合同签订后</w:t>
      </w:r>
      <w:r>
        <w:rPr>
          <w:rFonts w:hint="eastAsia" w:ascii="宋体" w:hAnsi="宋体" w:eastAsia="宋体" w:cs="宋体"/>
          <w:sz w:val="24"/>
          <w:u w:val="single"/>
        </w:rPr>
        <w:t xml:space="preserve">     </w:t>
      </w:r>
      <w:r>
        <w:rPr>
          <w:rFonts w:hint="eastAsia" w:ascii="宋体" w:hAnsi="宋体" w:eastAsia="宋体" w:cs="宋体"/>
          <w:sz w:val="24"/>
        </w:rPr>
        <w:t>天内向承包人提供</w:t>
      </w:r>
      <w:r>
        <w:rPr>
          <w:rFonts w:hint="eastAsia" w:ascii="宋体" w:hAnsi="宋体" w:eastAsia="宋体" w:cs="宋体"/>
          <w:sz w:val="24"/>
          <w:u w:val="single"/>
        </w:rPr>
        <w:t xml:space="preserve">     </w:t>
      </w:r>
      <w:r>
        <w:rPr>
          <w:rFonts w:hint="eastAsia" w:ascii="宋体" w:hAnsi="宋体" w:eastAsia="宋体" w:cs="宋体"/>
          <w:sz w:val="24"/>
        </w:rPr>
        <w:t>套完整的施工图和其它技术资料。</w:t>
      </w:r>
    </w:p>
    <w:p>
      <w:pPr>
        <w:spacing w:line="360" w:lineRule="auto"/>
        <w:ind w:firstLine="480"/>
        <w:rPr>
          <w:rFonts w:hint="eastAsia" w:ascii="宋体" w:hAnsi="宋体" w:eastAsia="宋体" w:cs="宋体"/>
          <w:sz w:val="24"/>
        </w:rPr>
      </w:pPr>
      <w:r>
        <w:rPr>
          <w:rFonts w:hint="eastAsia" w:ascii="宋体" w:hAnsi="宋体" w:eastAsia="宋体" w:cs="宋体"/>
          <w:sz w:val="24"/>
        </w:rPr>
        <w:t>(4)承包人发现发包人提供的图纸存在差错、遗漏或缺陷的，应在</w:t>
      </w:r>
      <w:r>
        <w:rPr>
          <w:rFonts w:hint="eastAsia" w:ascii="宋体" w:hAnsi="宋体" w:eastAsia="宋体" w:cs="宋体"/>
          <w:sz w:val="24"/>
          <w:u w:val="single"/>
        </w:rPr>
        <w:t xml:space="preserve">     </w:t>
      </w:r>
      <w:r>
        <w:rPr>
          <w:rFonts w:hint="eastAsia" w:ascii="宋体" w:hAnsi="宋体" w:eastAsia="宋体" w:cs="宋体"/>
          <w:sz w:val="24"/>
        </w:rPr>
        <w:t>天内通知监理人。监理人应附具相关意见并在</w:t>
      </w:r>
      <w:r>
        <w:rPr>
          <w:rFonts w:hint="eastAsia" w:ascii="宋体" w:hAnsi="宋体" w:eastAsia="宋体" w:cs="宋体"/>
          <w:sz w:val="24"/>
          <w:u w:val="single"/>
        </w:rPr>
        <w:t xml:space="preserve">     </w:t>
      </w:r>
      <w:r>
        <w:rPr>
          <w:rFonts w:hint="eastAsia" w:ascii="宋体" w:hAnsi="宋体" w:eastAsia="宋体" w:cs="宋体"/>
          <w:sz w:val="24"/>
        </w:rPr>
        <w:t>天内报送发包人，发包人应在收到监理人报送的通知后在</w:t>
      </w:r>
      <w:r>
        <w:rPr>
          <w:rFonts w:hint="eastAsia" w:ascii="宋体" w:hAnsi="宋体" w:eastAsia="宋体" w:cs="宋体"/>
          <w:sz w:val="24"/>
          <w:u w:val="single"/>
        </w:rPr>
        <w:t xml:space="preserve">     </w:t>
      </w:r>
      <w:r>
        <w:rPr>
          <w:rFonts w:hint="eastAsia" w:ascii="宋体" w:hAnsi="宋体" w:eastAsia="宋体" w:cs="宋体"/>
          <w:sz w:val="24"/>
        </w:rPr>
        <w:t>天内作出决定。</w:t>
      </w:r>
    </w:p>
    <w:p>
      <w:pPr>
        <w:pStyle w:val="3"/>
        <w:numPr>
          <w:ilvl w:val="0"/>
          <w:numId w:val="0"/>
        </w:numPr>
        <w:tabs>
          <w:tab w:val="left" w:pos="540"/>
          <w:tab w:val="left" w:pos="2340"/>
          <w:tab w:val="left" w:pos="4032"/>
        </w:tabs>
        <w:spacing w:before="120" w:after="156"/>
        <w:ind w:left="180"/>
        <w:jc w:val="left"/>
        <w:rPr>
          <w:rFonts w:hint="eastAsia" w:ascii="宋体" w:hAnsi="宋体" w:eastAsia="宋体" w:cs="宋体"/>
          <w:sz w:val="24"/>
        </w:rPr>
      </w:pPr>
      <w:bookmarkStart w:id="1310" w:name="_Toc302635947"/>
      <w:bookmarkStart w:id="1311" w:name="_Toc13850"/>
      <w:bookmarkStart w:id="1312" w:name="_Toc67418727"/>
      <w:r>
        <w:rPr>
          <w:rFonts w:hint="eastAsia" w:ascii="宋体" w:hAnsi="宋体" w:eastAsia="宋体" w:cs="宋体"/>
          <w:sz w:val="24"/>
        </w:rPr>
        <w:t>2.8补充图纸和资料</w:t>
      </w:r>
      <w:bookmarkEnd w:id="1310"/>
      <w:bookmarkEnd w:id="1311"/>
      <w:bookmarkEnd w:id="1312"/>
    </w:p>
    <w:p>
      <w:pPr>
        <w:spacing w:line="360" w:lineRule="auto"/>
        <w:ind w:firstLine="480"/>
        <w:rPr>
          <w:rFonts w:hint="eastAsia" w:ascii="宋体" w:hAnsi="宋体" w:eastAsia="宋体" w:cs="宋体"/>
          <w:sz w:val="24"/>
        </w:rPr>
      </w:pPr>
      <w:r>
        <w:rPr>
          <w:rFonts w:hint="eastAsia" w:ascii="宋体" w:hAnsi="宋体" w:eastAsia="宋体" w:cs="宋体"/>
          <w:sz w:val="24"/>
        </w:rPr>
        <w:t>发包人应在工程施工前</w:t>
      </w:r>
      <w:r>
        <w:rPr>
          <w:rFonts w:hint="eastAsia" w:ascii="宋体" w:hAnsi="宋体" w:eastAsia="宋体" w:cs="宋体"/>
          <w:sz w:val="24"/>
          <w:u w:val="single"/>
        </w:rPr>
        <w:t xml:space="preserve">     </w:t>
      </w:r>
      <w:r>
        <w:rPr>
          <w:rFonts w:hint="eastAsia" w:ascii="宋体" w:hAnsi="宋体" w:eastAsia="宋体" w:cs="宋体"/>
          <w:sz w:val="24"/>
        </w:rPr>
        <w:t>日内向承包人提供</w:t>
      </w:r>
      <w:r>
        <w:rPr>
          <w:rFonts w:hint="eastAsia" w:ascii="宋体" w:hAnsi="宋体" w:eastAsia="宋体" w:cs="宋体"/>
          <w:sz w:val="24"/>
          <w:u w:val="single"/>
        </w:rPr>
        <w:t xml:space="preserve">     </w:t>
      </w:r>
      <w:r>
        <w:rPr>
          <w:rFonts w:hint="eastAsia" w:ascii="宋体" w:hAnsi="宋体" w:eastAsia="宋体" w:cs="宋体"/>
          <w:sz w:val="24"/>
        </w:rPr>
        <w:t>套该部分工程的补充施工图(含深化设计图纸)和其它技术资料。</w:t>
      </w:r>
    </w:p>
    <w:p>
      <w:pPr>
        <w:pStyle w:val="3"/>
        <w:numPr>
          <w:ilvl w:val="0"/>
          <w:numId w:val="0"/>
        </w:numPr>
        <w:tabs>
          <w:tab w:val="left" w:pos="540"/>
          <w:tab w:val="left" w:pos="2340"/>
          <w:tab w:val="left" w:pos="4032"/>
        </w:tabs>
        <w:spacing w:before="120" w:after="156"/>
        <w:ind w:left="180"/>
        <w:jc w:val="left"/>
        <w:rPr>
          <w:rFonts w:hint="eastAsia" w:ascii="宋体" w:hAnsi="宋体" w:eastAsia="宋体" w:cs="宋体"/>
          <w:sz w:val="24"/>
        </w:rPr>
      </w:pPr>
      <w:bookmarkStart w:id="1313" w:name="_Toc25346"/>
      <w:bookmarkStart w:id="1314" w:name="_Toc67418728"/>
      <w:r>
        <w:rPr>
          <w:rFonts w:hint="eastAsia" w:ascii="宋体" w:hAnsi="宋体" w:eastAsia="宋体" w:cs="宋体"/>
          <w:sz w:val="24"/>
        </w:rPr>
        <w:t>2.10 竣工图</w:t>
      </w:r>
      <w:bookmarkEnd w:id="1313"/>
      <w:bookmarkEnd w:id="1314"/>
    </w:p>
    <w:p>
      <w:pPr>
        <w:spacing w:line="360" w:lineRule="auto"/>
        <w:ind w:firstLine="480"/>
        <w:rPr>
          <w:rFonts w:hint="eastAsia" w:ascii="宋体" w:hAnsi="宋体" w:eastAsia="宋体" w:cs="宋体"/>
          <w:sz w:val="24"/>
          <w:u w:val="single"/>
        </w:rPr>
      </w:pPr>
      <w:r>
        <w:rPr>
          <w:rFonts w:hint="eastAsia" w:ascii="宋体" w:hAnsi="宋体" w:eastAsia="宋体" w:cs="宋体"/>
          <w:sz w:val="24"/>
        </w:rPr>
        <w:t>(1)关于竣工图编制的约定：</w:t>
      </w: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ind w:firstLine="480"/>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pStyle w:val="3"/>
        <w:numPr>
          <w:ilvl w:val="0"/>
          <w:numId w:val="0"/>
        </w:numPr>
        <w:tabs>
          <w:tab w:val="left" w:pos="540"/>
          <w:tab w:val="left" w:pos="2340"/>
        </w:tabs>
        <w:spacing w:before="120" w:after="156"/>
        <w:ind w:left="180"/>
        <w:jc w:val="left"/>
        <w:rPr>
          <w:rFonts w:hint="eastAsia" w:ascii="宋体" w:hAnsi="宋体" w:eastAsia="宋体" w:cs="宋体"/>
          <w:sz w:val="24"/>
        </w:rPr>
      </w:pPr>
      <w:bookmarkStart w:id="1315" w:name="_Toc31042"/>
      <w:bookmarkStart w:id="1316" w:name="_Toc305331437"/>
      <w:bookmarkStart w:id="1317" w:name="_Toc67418729"/>
      <w:bookmarkStart w:id="1318" w:name="_Toc302635948"/>
      <w:r>
        <w:rPr>
          <w:rFonts w:hint="eastAsia" w:ascii="宋体" w:hAnsi="宋体" w:eastAsia="宋体" w:cs="宋体"/>
          <w:sz w:val="24"/>
        </w:rPr>
        <w:t>2.11 通知</w:t>
      </w:r>
      <w:bookmarkEnd w:id="1305"/>
      <w:bookmarkEnd w:id="1315"/>
      <w:bookmarkEnd w:id="1316"/>
      <w:bookmarkEnd w:id="1317"/>
      <w:bookmarkEnd w:id="1318"/>
    </w:p>
    <w:p>
      <w:pPr>
        <w:spacing w:line="360" w:lineRule="auto"/>
        <w:ind w:firstLine="480"/>
        <w:rPr>
          <w:rFonts w:hint="eastAsia" w:ascii="宋体" w:hAnsi="宋体" w:eastAsia="宋体" w:cs="宋体"/>
          <w:bCs/>
          <w:i/>
          <w:iCs/>
          <w:sz w:val="24"/>
          <w:u w:val="single"/>
        </w:rPr>
      </w:pPr>
      <w:r>
        <w:rPr>
          <w:rFonts w:hint="eastAsia" w:ascii="宋体" w:hAnsi="宋体" w:eastAsia="宋体" w:cs="宋体"/>
          <w:sz w:val="24"/>
        </w:rPr>
        <w:t>(1)承包人的地址：</w:t>
      </w:r>
      <w:r>
        <w:rPr>
          <w:rFonts w:hint="eastAsia" w:ascii="宋体" w:hAnsi="宋体" w:eastAsia="宋体" w:cs="宋体"/>
          <w:bCs/>
          <w:sz w:val="24"/>
          <w:u w:val="single"/>
        </w:rPr>
        <w:t xml:space="preserve">                                   </w:t>
      </w:r>
      <w:r>
        <w:rPr>
          <w:rFonts w:hint="eastAsia" w:ascii="宋体" w:hAnsi="宋体" w:eastAsia="宋体" w:cs="宋体"/>
          <w:bCs/>
          <w:sz w:val="24"/>
        </w:rPr>
        <w:t>邮编：</w:t>
      </w:r>
      <w:r>
        <w:rPr>
          <w:rFonts w:hint="eastAsia" w:ascii="宋体" w:hAnsi="宋体" w:eastAsia="宋体" w:cs="宋体"/>
          <w:bCs/>
          <w:sz w:val="24"/>
          <w:u w:val="single"/>
        </w:rPr>
        <w:t xml:space="preserve">              </w:t>
      </w:r>
    </w:p>
    <w:p>
      <w:pPr>
        <w:spacing w:line="360" w:lineRule="auto"/>
        <w:ind w:firstLine="480"/>
        <w:rPr>
          <w:rFonts w:hint="eastAsia" w:ascii="宋体" w:hAnsi="宋体" w:eastAsia="宋体" w:cs="宋体"/>
          <w:bCs/>
          <w:sz w:val="24"/>
          <w:u w:val="single"/>
        </w:rPr>
      </w:pPr>
      <w:r>
        <w:rPr>
          <w:rFonts w:hint="eastAsia" w:ascii="宋体" w:hAnsi="宋体" w:eastAsia="宋体" w:cs="宋体"/>
          <w:sz w:val="24"/>
        </w:rPr>
        <w:t>(2)发包人的地址：</w:t>
      </w:r>
      <w:r>
        <w:rPr>
          <w:rFonts w:hint="eastAsia" w:ascii="宋体" w:hAnsi="宋体" w:eastAsia="宋体" w:cs="宋体"/>
          <w:bCs/>
          <w:sz w:val="24"/>
          <w:u w:val="single"/>
        </w:rPr>
        <w:t xml:space="preserve">                                   </w:t>
      </w:r>
      <w:r>
        <w:rPr>
          <w:rFonts w:hint="eastAsia" w:ascii="宋体" w:hAnsi="宋体" w:eastAsia="宋体" w:cs="宋体"/>
          <w:bCs/>
          <w:sz w:val="24"/>
        </w:rPr>
        <w:t>邮编：</w:t>
      </w:r>
      <w:r>
        <w:rPr>
          <w:rFonts w:hint="eastAsia" w:ascii="宋体" w:hAnsi="宋体" w:eastAsia="宋体" w:cs="宋体"/>
          <w:bCs/>
          <w:sz w:val="24"/>
          <w:u w:val="single"/>
        </w:rPr>
        <w:t xml:space="preserve">              </w:t>
      </w:r>
    </w:p>
    <w:p>
      <w:pPr>
        <w:spacing w:line="360" w:lineRule="auto"/>
        <w:ind w:firstLine="480"/>
        <w:rPr>
          <w:rFonts w:hint="eastAsia" w:ascii="宋体" w:hAnsi="宋体" w:eastAsia="宋体" w:cs="宋体"/>
          <w:sz w:val="24"/>
          <w:u w:val="single"/>
        </w:rPr>
      </w:pPr>
      <w:r>
        <w:rPr>
          <w:rFonts w:hint="eastAsia" w:ascii="宋体" w:hAnsi="宋体" w:eastAsia="宋体" w:cs="宋体"/>
          <w:sz w:val="24"/>
        </w:rPr>
        <w:t xml:space="preserve">   监理人的地址：</w:t>
      </w:r>
      <w:bookmarkStart w:id="1319" w:name="_Toc35656522"/>
      <w:r>
        <w:rPr>
          <w:rFonts w:hint="eastAsia" w:ascii="宋体" w:hAnsi="宋体" w:eastAsia="宋体" w:cs="宋体"/>
          <w:bCs/>
          <w:sz w:val="24"/>
          <w:u w:val="single"/>
        </w:rPr>
        <w:t xml:space="preserve">                                   </w:t>
      </w:r>
      <w:r>
        <w:rPr>
          <w:rFonts w:hint="eastAsia" w:ascii="宋体" w:hAnsi="宋体" w:eastAsia="宋体" w:cs="宋体"/>
          <w:bCs/>
          <w:sz w:val="24"/>
        </w:rPr>
        <w:t>邮编：</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pStyle w:val="3"/>
        <w:numPr>
          <w:ilvl w:val="0"/>
          <w:numId w:val="0"/>
        </w:numPr>
        <w:tabs>
          <w:tab w:val="left" w:pos="540"/>
          <w:tab w:val="left" w:pos="2340"/>
        </w:tabs>
        <w:spacing w:before="120" w:after="156"/>
        <w:ind w:left="180"/>
        <w:jc w:val="left"/>
        <w:rPr>
          <w:rFonts w:hint="eastAsia" w:ascii="宋体" w:hAnsi="宋体" w:eastAsia="宋体" w:cs="宋体"/>
          <w:sz w:val="24"/>
        </w:rPr>
      </w:pPr>
      <w:bookmarkStart w:id="1320" w:name="_Toc67418730"/>
      <w:bookmarkStart w:id="1321" w:name="_Toc15625"/>
      <w:bookmarkStart w:id="1322" w:name="_Toc302635949"/>
      <w:r>
        <w:rPr>
          <w:rFonts w:hint="eastAsia" w:ascii="宋体" w:hAnsi="宋体" w:eastAsia="宋体" w:cs="宋体"/>
          <w:sz w:val="24"/>
        </w:rPr>
        <w:t>2.13 交通运输</w:t>
      </w:r>
      <w:bookmarkEnd w:id="1320"/>
      <w:bookmarkEnd w:id="1321"/>
      <w:bookmarkEnd w:id="1322"/>
      <w:r>
        <w:rPr>
          <w:rFonts w:hint="eastAsia" w:ascii="宋体" w:hAnsi="宋体" w:eastAsia="宋体" w:cs="宋体"/>
          <w:sz w:val="24"/>
        </w:rPr>
        <w:t xml:space="preserve">     </w:t>
      </w:r>
    </w:p>
    <w:p>
      <w:pPr>
        <w:spacing w:line="360" w:lineRule="auto"/>
        <w:ind w:firstLine="480"/>
        <w:rPr>
          <w:rFonts w:hint="eastAsia" w:ascii="宋体" w:hAnsi="宋体" w:eastAsia="宋体" w:cs="宋体"/>
          <w:sz w:val="24"/>
        </w:rPr>
      </w:pPr>
      <w:r>
        <w:rPr>
          <w:rFonts w:hint="eastAsia" w:ascii="宋体" w:hAnsi="宋体" w:eastAsia="宋体" w:cs="宋体"/>
          <w:sz w:val="24"/>
        </w:rPr>
        <w:t>（1）出入现场的权利</w:t>
      </w:r>
    </w:p>
    <w:p>
      <w:pPr>
        <w:spacing w:line="360" w:lineRule="auto"/>
        <w:ind w:firstLine="480"/>
        <w:rPr>
          <w:rFonts w:hint="eastAsia" w:ascii="宋体" w:hAnsi="宋体" w:eastAsia="宋体" w:cs="宋体"/>
          <w:sz w:val="24"/>
          <w:u w:val="single"/>
        </w:rPr>
      </w:pPr>
      <w:r>
        <w:rPr>
          <w:rFonts w:hint="eastAsia" w:ascii="宋体" w:hAnsi="宋体" w:eastAsia="宋体" w:cs="宋体"/>
          <w:sz w:val="24"/>
        </w:rPr>
        <w:t>关于出入现场的权利的约定：</w:t>
      </w: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ind w:firstLine="480"/>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spacing w:line="360" w:lineRule="auto"/>
        <w:ind w:firstLine="480"/>
        <w:rPr>
          <w:rFonts w:hint="eastAsia" w:ascii="宋体" w:hAnsi="宋体" w:eastAsia="宋体" w:cs="宋体"/>
          <w:sz w:val="24"/>
        </w:rPr>
      </w:pPr>
      <w:r>
        <w:rPr>
          <w:rFonts w:hint="eastAsia" w:ascii="宋体" w:hAnsi="宋体" w:eastAsia="宋体" w:cs="宋体"/>
          <w:sz w:val="24"/>
        </w:rPr>
        <w:t>（3）场内交通</w:t>
      </w:r>
    </w:p>
    <w:p>
      <w:pPr>
        <w:spacing w:line="360" w:lineRule="auto"/>
        <w:ind w:firstLine="480"/>
        <w:rPr>
          <w:rFonts w:hint="eastAsia" w:ascii="宋体" w:hAnsi="宋体" w:eastAsia="宋体" w:cs="宋体"/>
          <w:sz w:val="24"/>
          <w:u w:val="single"/>
        </w:rPr>
      </w:pPr>
      <w:r>
        <w:rPr>
          <w:rFonts w:hint="eastAsia" w:ascii="宋体" w:hAnsi="宋体" w:eastAsia="宋体" w:cs="宋体"/>
          <w:sz w:val="24"/>
        </w:rPr>
        <w:t>关于场外交通和场内交通的边界的约定：</w:t>
      </w: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spacing w:line="360" w:lineRule="auto"/>
        <w:ind w:firstLine="480"/>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spacing w:line="360" w:lineRule="auto"/>
        <w:ind w:firstLine="480"/>
        <w:rPr>
          <w:rFonts w:hint="eastAsia" w:ascii="宋体" w:hAnsi="宋体" w:eastAsia="宋体" w:cs="宋体"/>
          <w:sz w:val="24"/>
        </w:rPr>
      </w:pPr>
      <w:r>
        <w:rPr>
          <w:rFonts w:hint="eastAsia" w:ascii="宋体" w:hAnsi="宋体" w:eastAsia="宋体" w:cs="宋体"/>
          <w:sz w:val="24"/>
        </w:rPr>
        <w:t>关于发包人向承包人免费提供满足工程施工需要的场内道路和交通设施的约定：</w:t>
      </w:r>
      <w:r>
        <w:rPr>
          <w:rFonts w:hint="eastAsia" w:ascii="宋体" w:hAnsi="宋体" w:eastAsia="宋体" w:cs="宋体"/>
          <w:sz w:val="24"/>
          <w:u w:val="single"/>
        </w:rPr>
        <w:t xml:space="preserve">                                                                   </w:t>
      </w:r>
    </w:p>
    <w:p>
      <w:pPr>
        <w:spacing w:line="360" w:lineRule="auto"/>
        <w:ind w:firstLine="480"/>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spacing w:line="360" w:lineRule="auto"/>
        <w:ind w:firstLine="480"/>
        <w:rPr>
          <w:rFonts w:hint="eastAsia" w:ascii="宋体" w:hAnsi="宋体" w:eastAsia="宋体" w:cs="宋体"/>
          <w:sz w:val="24"/>
        </w:rPr>
      </w:pPr>
      <w:r>
        <w:rPr>
          <w:rFonts w:hint="eastAsia" w:ascii="宋体" w:hAnsi="宋体" w:eastAsia="宋体" w:cs="宋体"/>
          <w:sz w:val="24"/>
        </w:rPr>
        <w:t>（4）超大件和超重件的运输</w:t>
      </w:r>
    </w:p>
    <w:p>
      <w:pPr>
        <w:spacing w:line="360" w:lineRule="auto"/>
        <w:ind w:firstLine="480"/>
        <w:jc w:val="left"/>
        <w:rPr>
          <w:rFonts w:hint="eastAsia" w:ascii="宋体" w:hAnsi="宋体" w:eastAsia="宋体" w:cs="宋体"/>
          <w:sz w:val="24"/>
        </w:rPr>
      </w:pPr>
      <w:r>
        <w:rPr>
          <w:rFonts w:hint="eastAsia" w:ascii="宋体" w:hAnsi="宋体" w:eastAsia="宋体" w:cs="宋体"/>
          <w:sz w:val="24"/>
        </w:rPr>
        <w:t>运输超大件或超重件所需道路和桥梁临时加固费用和其他费用由</w:t>
      </w:r>
      <w:r>
        <w:rPr>
          <w:rFonts w:hint="eastAsia" w:ascii="宋体" w:hAnsi="宋体" w:eastAsia="宋体" w:cs="宋体"/>
          <w:sz w:val="24"/>
          <w:u w:val="single"/>
        </w:rPr>
        <w:t xml:space="preserve">           </w:t>
      </w:r>
      <w:r>
        <w:rPr>
          <w:rFonts w:hint="eastAsia" w:ascii="宋体" w:hAnsi="宋体" w:eastAsia="宋体" w:cs="宋体"/>
          <w:sz w:val="24"/>
        </w:rPr>
        <w:t xml:space="preserve">                                 承担。</w:t>
      </w:r>
    </w:p>
    <w:p>
      <w:pPr>
        <w:pStyle w:val="3"/>
        <w:numPr>
          <w:ilvl w:val="0"/>
          <w:numId w:val="0"/>
        </w:numPr>
        <w:tabs>
          <w:tab w:val="left" w:pos="540"/>
          <w:tab w:val="left" w:pos="2340"/>
        </w:tabs>
        <w:spacing w:before="120" w:after="156"/>
        <w:ind w:left="180"/>
        <w:jc w:val="left"/>
        <w:rPr>
          <w:rFonts w:hint="eastAsia" w:ascii="宋体" w:hAnsi="宋体" w:eastAsia="宋体" w:cs="宋体"/>
          <w:sz w:val="24"/>
        </w:rPr>
      </w:pPr>
      <w:bookmarkStart w:id="1323" w:name="_Toc67418731"/>
      <w:bookmarkStart w:id="1324" w:name="_Toc302635950"/>
      <w:bookmarkStart w:id="1325" w:name="_Toc1489"/>
      <w:r>
        <w:rPr>
          <w:rFonts w:hint="eastAsia" w:ascii="宋体" w:hAnsi="宋体" w:eastAsia="宋体" w:cs="宋体"/>
          <w:sz w:val="24"/>
        </w:rPr>
        <w:t>2.15 知识产权</w:t>
      </w:r>
      <w:bookmarkEnd w:id="1323"/>
      <w:bookmarkEnd w:id="1324"/>
      <w:bookmarkEnd w:id="1325"/>
    </w:p>
    <w:p>
      <w:pPr>
        <w:spacing w:line="360" w:lineRule="auto"/>
        <w:ind w:firstLine="480" w:firstLineChars="200"/>
        <w:rPr>
          <w:rFonts w:hint="eastAsia" w:ascii="宋体" w:hAnsi="宋体" w:eastAsia="宋体" w:cs="宋体"/>
          <w:sz w:val="30"/>
          <w:szCs w:val="32"/>
          <w:u w:val="single"/>
        </w:rPr>
      </w:pPr>
      <w:r>
        <w:rPr>
          <w:rFonts w:hint="eastAsia" w:ascii="宋体" w:hAnsi="宋体" w:eastAsia="宋体" w:cs="宋体"/>
          <w:sz w:val="24"/>
        </w:rPr>
        <w:t>（1）关于发包人提供给承包人的图纸、发包人为实施工程自行编制或委托编制的技术规范以及反映发包人关于合同要求或其他类似性质的文件的著作权的归属：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sz w:val="30"/>
          <w:szCs w:val="32"/>
          <w:u w:val="single"/>
        </w:rPr>
        <w:t xml:space="preserve">                                                     </w:t>
      </w:r>
    </w:p>
    <w:p>
      <w:pPr>
        <w:spacing w:line="360" w:lineRule="auto"/>
        <w:rPr>
          <w:rFonts w:hint="eastAsia" w:ascii="宋体" w:hAnsi="宋体" w:eastAsia="宋体" w:cs="宋体"/>
          <w:sz w:val="30"/>
          <w:szCs w:val="32"/>
        </w:rPr>
      </w:pPr>
      <w:r>
        <w:rPr>
          <w:rFonts w:hint="eastAsia" w:ascii="宋体" w:hAnsi="宋体" w:eastAsia="宋体" w:cs="宋体"/>
          <w:sz w:val="30"/>
          <w:szCs w:val="32"/>
          <w:u w:val="single"/>
        </w:rPr>
        <w:t xml:space="preserve">                                                           </w:t>
      </w:r>
      <w:r>
        <w:rPr>
          <w:rFonts w:hint="eastAsia" w:ascii="宋体" w:hAnsi="宋体" w:eastAsia="宋体" w:cs="宋体"/>
          <w:sz w:val="30"/>
          <w:szCs w:val="32"/>
        </w:rPr>
        <w:t>。</w:t>
      </w:r>
    </w:p>
    <w:p>
      <w:pPr>
        <w:spacing w:line="360" w:lineRule="auto"/>
        <w:ind w:firstLine="480"/>
        <w:jc w:val="left"/>
        <w:rPr>
          <w:rFonts w:hint="eastAsia" w:ascii="宋体" w:hAnsi="宋体" w:eastAsia="宋体" w:cs="宋体"/>
          <w:sz w:val="30"/>
          <w:szCs w:val="32"/>
        </w:rPr>
      </w:pPr>
      <w:r>
        <w:rPr>
          <w:rFonts w:hint="eastAsia" w:ascii="宋体" w:hAnsi="宋体" w:eastAsia="宋体" w:cs="宋体"/>
          <w:sz w:val="24"/>
        </w:rPr>
        <w:t>关于发包人提供的上述文件的使用限制的要求：</w:t>
      </w:r>
      <w:r>
        <w:rPr>
          <w:rFonts w:hint="eastAsia" w:ascii="宋体" w:hAnsi="宋体" w:eastAsia="宋体" w:cs="宋体"/>
          <w:sz w:val="30"/>
          <w:szCs w:val="32"/>
          <w:u w:val="single"/>
        </w:rPr>
        <w:t xml:space="preserve">                       </w:t>
      </w:r>
    </w:p>
    <w:p>
      <w:pPr>
        <w:spacing w:line="360" w:lineRule="auto"/>
        <w:rPr>
          <w:rFonts w:hint="eastAsia" w:ascii="宋体" w:hAnsi="宋体" w:eastAsia="宋体" w:cs="宋体"/>
          <w:sz w:val="30"/>
          <w:szCs w:val="32"/>
        </w:rPr>
      </w:pPr>
      <w:r>
        <w:rPr>
          <w:rFonts w:hint="eastAsia" w:ascii="宋体" w:hAnsi="宋体" w:eastAsia="宋体" w:cs="宋体"/>
          <w:sz w:val="30"/>
          <w:szCs w:val="32"/>
          <w:u w:val="single"/>
        </w:rPr>
        <w:t xml:space="preserve">                                                           </w:t>
      </w:r>
      <w:r>
        <w:rPr>
          <w:rFonts w:hint="eastAsia" w:ascii="宋体" w:hAnsi="宋体" w:eastAsia="宋体" w:cs="宋体"/>
          <w:sz w:val="30"/>
          <w:szCs w:val="32"/>
        </w:rPr>
        <w:t>。</w:t>
      </w:r>
    </w:p>
    <w:p>
      <w:pPr>
        <w:spacing w:line="360" w:lineRule="auto"/>
        <w:ind w:firstLine="480"/>
        <w:jc w:val="left"/>
        <w:rPr>
          <w:rFonts w:hint="eastAsia" w:ascii="宋体" w:hAnsi="宋体" w:eastAsia="宋体" w:cs="宋体"/>
          <w:sz w:val="30"/>
          <w:szCs w:val="32"/>
        </w:rPr>
      </w:pPr>
      <w:r>
        <w:rPr>
          <w:rFonts w:hint="eastAsia" w:ascii="宋体" w:hAnsi="宋体" w:eastAsia="宋体" w:cs="宋体"/>
          <w:sz w:val="24"/>
        </w:rPr>
        <w:t>（2）关于承包人为实施工程所编制文件的著作权的归属：</w:t>
      </w:r>
      <w:r>
        <w:rPr>
          <w:rFonts w:hint="eastAsia" w:ascii="宋体" w:hAnsi="宋体" w:eastAsia="宋体" w:cs="宋体"/>
          <w:sz w:val="30"/>
          <w:szCs w:val="32"/>
          <w:u w:val="single"/>
        </w:rPr>
        <w:t xml:space="preserve">                </w:t>
      </w:r>
    </w:p>
    <w:p>
      <w:pPr>
        <w:spacing w:line="360" w:lineRule="auto"/>
        <w:rPr>
          <w:rFonts w:hint="eastAsia" w:ascii="宋体" w:hAnsi="宋体" w:eastAsia="宋体" w:cs="宋体"/>
          <w:sz w:val="30"/>
          <w:szCs w:val="32"/>
        </w:rPr>
      </w:pPr>
      <w:r>
        <w:rPr>
          <w:rFonts w:hint="eastAsia" w:ascii="宋体" w:hAnsi="宋体" w:eastAsia="宋体" w:cs="宋体"/>
          <w:sz w:val="30"/>
          <w:szCs w:val="32"/>
          <w:u w:val="single"/>
        </w:rPr>
        <w:t xml:space="preserve">                                                           </w:t>
      </w:r>
      <w:r>
        <w:rPr>
          <w:rFonts w:hint="eastAsia" w:ascii="宋体" w:hAnsi="宋体" w:eastAsia="宋体" w:cs="宋体"/>
          <w:sz w:val="30"/>
          <w:szCs w:val="32"/>
        </w:rPr>
        <w:t>。</w:t>
      </w:r>
    </w:p>
    <w:p>
      <w:pPr>
        <w:spacing w:line="360" w:lineRule="auto"/>
        <w:ind w:firstLine="480" w:firstLineChars="200"/>
        <w:rPr>
          <w:rFonts w:hint="eastAsia" w:ascii="宋体" w:hAnsi="宋体" w:eastAsia="宋体" w:cs="宋体"/>
          <w:sz w:val="30"/>
          <w:szCs w:val="32"/>
          <w:u w:val="single"/>
        </w:rPr>
      </w:pPr>
      <w:r>
        <w:rPr>
          <w:rFonts w:hint="eastAsia" w:ascii="宋体" w:hAnsi="宋体" w:eastAsia="宋体" w:cs="宋体"/>
          <w:sz w:val="24"/>
        </w:rPr>
        <w:t>关于承包人提供的上述文件的使用限制的要求：</w:t>
      </w:r>
      <w:r>
        <w:rPr>
          <w:rFonts w:hint="eastAsia" w:ascii="宋体" w:hAnsi="宋体" w:eastAsia="宋体" w:cs="宋体"/>
          <w:sz w:val="30"/>
          <w:szCs w:val="32"/>
          <w:u w:val="single"/>
        </w:rPr>
        <w:t xml:space="preserve">                       </w:t>
      </w:r>
    </w:p>
    <w:p>
      <w:pPr>
        <w:spacing w:line="360" w:lineRule="auto"/>
        <w:rPr>
          <w:rFonts w:hint="eastAsia" w:ascii="宋体" w:hAnsi="宋体" w:eastAsia="宋体" w:cs="宋体"/>
          <w:sz w:val="30"/>
          <w:szCs w:val="32"/>
        </w:rPr>
      </w:pPr>
      <w:r>
        <w:rPr>
          <w:rFonts w:hint="eastAsia" w:ascii="宋体" w:hAnsi="宋体" w:eastAsia="宋体" w:cs="宋体"/>
          <w:sz w:val="30"/>
          <w:szCs w:val="32"/>
          <w:u w:val="single"/>
        </w:rPr>
        <w:t xml:space="preserve">                                                           </w:t>
      </w:r>
      <w:r>
        <w:rPr>
          <w:rFonts w:hint="eastAsia" w:ascii="宋体" w:hAnsi="宋体" w:eastAsia="宋体" w:cs="宋体"/>
          <w:sz w:val="30"/>
          <w:szCs w:val="32"/>
        </w:rPr>
        <w:t>。</w:t>
      </w:r>
    </w:p>
    <w:p>
      <w:pPr>
        <w:spacing w:line="360" w:lineRule="auto"/>
        <w:ind w:firstLine="480" w:firstLineChars="200"/>
        <w:rPr>
          <w:rFonts w:hint="eastAsia" w:ascii="宋体" w:hAnsi="宋体" w:eastAsia="宋体" w:cs="宋体"/>
          <w:kern w:val="0"/>
          <w:sz w:val="30"/>
          <w:szCs w:val="32"/>
        </w:rPr>
      </w:pPr>
      <w:r>
        <w:rPr>
          <w:rFonts w:hint="eastAsia" w:ascii="宋体" w:hAnsi="宋体" w:eastAsia="宋体" w:cs="宋体"/>
          <w:sz w:val="24"/>
        </w:rPr>
        <w:t>（4）承包人在施工过程中所采用的专利、专有技术、技术秘密的使用费的承担方式：</w:t>
      </w:r>
      <w:r>
        <w:rPr>
          <w:rFonts w:hint="eastAsia" w:ascii="宋体" w:hAnsi="宋体" w:eastAsia="宋体" w:cs="宋体"/>
          <w:sz w:val="30"/>
          <w:szCs w:val="32"/>
          <w:u w:val="single"/>
        </w:rPr>
        <w:t xml:space="preserve">                             </w:t>
      </w:r>
      <w:r>
        <w:rPr>
          <w:rFonts w:hint="eastAsia" w:ascii="宋体" w:hAnsi="宋体" w:eastAsia="宋体" w:cs="宋体"/>
          <w:kern w:val="0"/>
          <w:sz w:val="30"/>
          <w:szCs w:val="32"/>
        </w:rPr>
        <w:t>。</w:t>
      </w:r>
    </w:p>
    <w:bookmarkEnd w:id="1319"/>
    <w:p>
      <w:pPr>
        <w:pStyle w:val="2"/>
        <w:keepNext w:val="0"/>
        <w:keepLines w:val="0"/>
        <w:numPr>
          <w:ilvl w:val="0"/>
          <w:numId w:val="0"/>
        </w:numPr>
        <w:tabs>
          <w:tab w:val="left" w:pos="1620"/>
          <w:tab w:val="left" w:pos="2340"/>
        </w:tabs>
        <w:spacing w:before="120" w:after="120"/>
        <w:rPr>
          <w:rFonts w:hint="eastAsia" w:ascii="宋体" w:hAnsi="宋体" w:eastAsia="宋体" w:cs="宋体"/>
        </w:rPr>
      </w:pPr>
      <w:bookmarkStart w:id="1326" w:name="_Toc35656523"/>
      <w:bookmarkStart w:id="1327" w:name="_Toc305331438"/>
      <w:bookmarkStart w:id="1328" w:name="_Toc302635952"/>
      <w:bookmarkStart w:id="1329" w:name="_Toc14352"/>
      <w:bookmarkStart w:id="1330" w:name="_Toc67418732"/>
      <w:r>
        <w:rPr>
          <w:rFonts w:hint="eastAsia" w:ascii="宋体" w:hAnsi="宋体" w:eastAsia="宋体" w:cs="宋体"/>
        </w:rPr>
        <w:t>3 发包人</w:t>
      </w:r>
      <w:bookmarkEnd w:id="1326"/>
      <w:bookmarkEnd w:id="1327"/>
      <w:bookmarkEnd w:id="1328"/>
      <w:bookmarkEnd w:id="1329"/>
      <w:bookmarkEnd w:id="1330"/>
    </w:p>
    <w:p>
      <w:pPr>
        <w:pStyle w:val="3"/>
        <w:numPr>
          <w:ilvl w:val="0"/>
          <w:numId w:val="0"/>
        </w:numPr>
        <w:tabs>
          <w:tab w:val="left" w:pos="540"/>
          <w:tab w:val="left" w:pos="2340"/>
        </w:tabs>
        <w:spacing w:before="120" w:after="156"/>
        <w:ind w:left="180"/>
        <w:jc w:val="left"/>
        <w:rPr>
          <w:rFonts w:hint="eastAsia" w:ascii="宋体" w:hAnsi="宋体" w:eastAsia="宋体" w:cs="宋体"/>
          <w:sz w:val="24"/>
        </w:rPr>
      </w:pPr>
      <w:bookmarkStart w:id="1331" w:name="_Toc67418733"/>
      <w:bookmarkStart w:id="1332" w:name="_Toc302635953"/>
      <w:bookmarkStart w:id="1333" w:name="_Toc24765"/>
      <w:bookmarkStart w:id="1334" w:name="_Toc305331439"/>
      <w:r>
        <w:rPr>
          <w:rFonts w:hint="eastAsia" w:ascii="宋体" w:hAnsi="宋体" w:eastAsia="宋体" w:cs="宋体"/>
          <w:sz w:val="24"/>
        </w:rPr>
        <w:t>3.1 发包人代表</w:t>
      </w:r>
      <w:bookmarkEnd w:id="1331"/>
      <w:bookmarkEnd w:id="1332"/>
      <w:bookmarkEnd w:id="1333"/>
      <w:bookmarkEnd w:id="1334"/>
    </w:p>
    <w:p>
      <w:pPr>
        <w:spacing w:line="360" w:lineRule="auto"/>
        <w:ind w:firstLine="480"/>
        <w:rPr>
          <w:rFonts w:hint="eastAsia" w:ascii="宋体" w:hAnsi="宋体" w:eastAsia="宋体" w:cs="宋体"/>
          <w:sz w:val="24"/>
        </w:rPr>
      </w:pPr>
      <w:r>
        <w:rPr>
          <w:rFonts w:hint="eastAsia" w:ascii="宋体" w:hAnsi="宋体" w:eastAsia="宋体" w:cs="宋体"/>
          <w:sz w:val="24"/>
        </w:rPr>
        <w:t>发包人代表的姓名：</w:t>
      </w:r>
      <w:r>
        <w:rPr>
          <w:rFonts w:hint="eastAsia" w:ascii="宋体" w:hAnsi="宋体" w:eastAsia="宋体" w:cs="宋体"/>
          <w:sz w:val="24"/>
          <w:u w:val="single"/>
        </w:rPr>
        <w:t xml:space="preserve">               </w:t>
      </w:r>
      <w:r>
        <w:rPr>
          <w:rFonts w:hint="eastAsia" w:ascii="宋体" w:hAnsi="宋体" w:eastAsia="宋体" w:cs="宋体"/>
          <w:sz w:val="24"/>
        </w:rPr>
        <w:t>。</w:t>
      </w:r>
    </w:p>
    <w:p>
      <w:pPr>
        <w:pStyle w:val="3"/>
        <w:numPr>
          <w:ilvl w:val="0"/>
          <w:numId w:val="0"/>
        </w:numPr>
        <w:tabs>
          <w:tab w:val="left" w:pos="540"/>
          <w:tab w:val="left" w:pos="2340"/>
        </w:tabs>
        <w:spacing w:before="120" w:after="156"/>
        <w:ind w:left="180"/>
        <w:jc w:val="left"/>
        <w:rPr>
          <w:rFonts w:hint="eastAsia" w:ascii="宋体" w:hAnsi="宋体" w:eastAsia="宋体" w:cs="宋体"/>
          <w:sz w:val="24"/>
        </w:rPr>
      </w:pPr>
      <w:bookmarkStart w:id="1335" w:name="_Toc67418734"/>
      <w:bookmarkStart w:id="1336" w:name="_Toc14569"/>
      <w:bookmarkStart w:id="1337" w:name="_Toc302635954"/>
      <w:bookmarkStart w:id="1338" w:name="_Toc305331440"/>
      <w:r>
        <w:rPr>
          <w:rFonts w:hint="eastAsia" w:ascii="宋体" w:hAnsi="宋体" w:eastAsia="宋体" w:cs="宋体"/>
          <w:sz w:val="24"/>
        </w:rPr>
        <w:t>3.4 发包人的工作</w:t>
      </w:r>
      <w:bookmarkEnd w:id="1335"/>
      <w:bookmarkEnd w:id="1336"/>
      <w:bookmarkEnd w:id="1337"/>
      <w:bookmarkEnd w:id="1338"/>
    </w:p>
    <w:p>
      <w:pPr>
        <w:spacing w:line="360" w:lineRule="auto"/>
        <w:ind w:firstLine="480"/>
        <w:rPr>
          <w:rFonts w:hint="eastAsia" w:ascii="宋体" w:hAnsi="宋体" w:eastAsia="宋体" w:cs="宋体"/>
          <w:sz w:val="24"/>
        </w:rPr>
      </w:pPr>
      <w:r>
        <w:rPr>
          <w:rFonts w:hint="eastAsia" w:ascii="宋体" w:hAnsi="宋体" w:eastAsia="宋体" w:cs="宋体"/>
          <w:sz w:val="24"/>
        </w:rPr>
        <w:t>(1)发包人完成工作的要求：</w:t>
      </w:r>
    </w:p>
    <w:p>
      <w:pPr>
        <w:spacing w:line="360" w:lineRule="auto"/>
        <w:ind w:firstLine="480"/>
        <w:rPr>
          <w:rFonts w:hint="eastAsia" w:ascii="宋体" w:hAnsi="宋体" w:eastAsia="宋体" w:cs="宋体"/>
          <w:bCs/>
          <w:sz w:val="24"/>
          <w:u w:val="single"/>
        </w:rPr>
      </w:pPr>
      <w:r>
        <w:rPr>
          <w:rFonts w:hint="eastAsia" w:ascii="宋体" w:hAnsi="宋体" w:eastAsia="宋体" w:cs="宋体"/>
          <w:sz w:val="24"/>
        </w:rPr>
        <w:t>②施工场地内施工所需用水、用电、通讯的接驳地点：</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spacing w:line="360" w:lineRule="auto"/>
        <w:rPr>
          <w:rFonts w:hint="eastAsia" w:ascii="宋体" w:hAnsi="宋体" w:eastAsia="宋体" w:cs="宋体"/>
          <w:sz w:val="24"/>
          <w:u w:val="single"/>
        </w:rPr>
      </w:pPr>
      <w:r>
        <w:rPr>
          <w:rFonts w:hint="eastAsia" w:ascii="宋体" w:hAnsi="宋体" w:eastAsia="宋体" w:cs="宋体"/>
          <w:bCs/>
          <w:sz w:val="24"/>
          <w:u w:val="single"/>
        </w:rPr>
        <w:t xml:space="preserve">                                                                           </w:t>
      </w:r>
    </w:p>
    <w:p>
      <w:pPr>
        <w:spacing w:line="360" w:lineRule="auto"/>
        <w:ind w:firstLine="480"/>
        <w:rPr>
          <w:rFonts w:hint="eastAsia" w:ascii="宋体" w:hAnsi="宋体" w:eastAsia="宋体" w:cs="宋体"/>
          <w:sz w:val="24"/>
        </w:rPr>
      </w:pPr>
      <w:r>
        <w:rPr>
          <w:rFonts w:hint="eastAsia" w:ascii="宋体" w:hAnsi="宋体" w:eastAsia="宋体" w:cs="宋体"/>
          <w:sz w:val="24"/>
        </w:rPr>
        <w:t>⑦发包人组织图纸会审和设计交底的时间：</w:t>
      </w: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r>
        <w:rPr>
          <w:rFonts w:hint="eastAsia" w:ascii="宋体" w:hAnsi="宋体" w:eastAsia="宋体" w:cs="宋体"/>
          <w:sz w:val="24"/>
        </w:rPr>
        <w:t>。</w:t>
      </w:r>
    </w:p>
    <w:p>
      <w:pPr>
        <w:spacing w:line="360" w:lineRule="auto"/>
        <w:ind w:firstLine="480"/>
        <w:rPr>
          <w:rFonts w:hint="eastAsia" w:ascii="宋体" w:hAnsi="宋体" w:eastAsia="宋体" w:cs="宋体"/>
          <w:sz w:val="24"/>
          <w:u w:val="single"/>
        </w:rPr>
      </w:pPr>
      <w:r>
        <w:rPr>
          <w:rFonts w:hint="eastAsia" w:ascii="宋体" w:hAnsi="宋体" w:eastAsia="宋体" w:cs="宋体"/>
          <w:sz w:val="24"/>
        </w:rPr>
        <w:t>⑨发包人应做的其他工作和要求：</w:t>
      </w: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spacing w:line="360" w:lineRule="auto"/>
        <w:rPr>
          <w:rFonts w:hint="eastAsia" w:ascii="宋体" w:hAnsi="宋体" w:eastAsia="宋体" w:cs="宋体"/>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spacing w:line="360" w:lineRule="auto"/>
        <w:rPr>
          <w:rFonts w:hint="eastAsia" w:ascii="宋体" w:hAnsi="宋体" w:eastAsia="宋体" w:cs="宋体"/>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spacing w:line="360" w:lineRule="auto"/>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pStyle w:val="3"/>
        <w:numPr>
          <w:ilvl w:val="0"/>
          <w:numId w:val="0"/>
        </w:numPr>
        <w:tabs>
          <w:tab w:val="left" w:pos="540"/>
          <w:tab w:val="left" w:pos="2340"/>
        </w:tabs>
        <w:spacing w:before="120" w:after="156"/>
        <w:ind w:left="180"/>
        <w:jc w:val="left"/>
        <w:rPr>
          <w:rFonts w:hint="eastAsia" w:ascii="宋体" w:hAnsi="宋体" w:eastAsia="宋体" w:cs="宋体"/>
          <w:sz w:val="24"/>
        </w:rPr>
      </w:pPr>
      <w:bookmarkStart w:id="1339" w:name="_Toc305331441"/>
      <w:bookmarkStart w:id="1340" w:name="_Toc302635955"/>
      <w:bookmarkStart w:id="1341" w:name="_Toc67418735"/>
      <w:bookmarkStart w:id="1342" w:name="_Toc18553"/>
      <w:r>
        <w:rPr>
          <w:rFonts w:hint="eastAsia" w:ascii="宋体" w:hAnsi="宋体" w:eastAsia="宋体" w:cs="宋体"/>
          <w:sz w:val="24"/>
        </w:rPr>
        <w:t>3.5 发包人委托</w:t>
      </w:r>
      <w:bookmarkEnd w:id="1339"/>
      <w:bookmarkEnd w:id="1340"/>
      <w:bookmarkEnd w:id="1341"/>
      <w:bookmarkEnd w:id="1342"/>
    </w:p>
    <w:p>
      <w:pPr>
        <w:spacing w:line="360" w:lineRule="auto"/>
        <w:ind w:firstLine="480"/>
        <w:rPr>
          <w:rFonts w:hint="eastAsia" w:ascii="宋体" w:hAnsi="宋体" w:eastAsia="宋体" w:cs="宋体"/>
          <w:bCs/>
          <w:sz w:val="24"/>
          <w:u w:val="single"/>
        </w:rPr>
      </w:pPr>
      <w:r>
        <w:rPr>
          <w:rFonts w:hint="eastAsia" w:ascii="宋体" w:hAnsi="宋体" w:eastAsia="宋体" w:cs="宋体"/>
          <w:sz w:val="24"/>
        </w:rPr>
        <w:t>发包人委托承包人办理的工作：</w:t>
      </w:r>
      <w:bookmarkStart w:id="1343" w:name="_Toc35656524"/>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spacing w:line="360" w:lineRule="auto"/>
        <w:rPr>
          <w:rFonts w:hint="eastAsia" w:ascii="宋体" w:hAnsi="宋体" w:eastAsia="宋体" w:cs="宋体"/>
          <w:sz w:val="24"/>
          <w:u w:val="single"/>
        </w:rPr>
      </w:pPr>
      <w:r>
        <w:rPr>
          <w:rFonts w:hint="eastAsia" w:ascii="宋体" w:hAnsi="宋体" w:eastAsia="宋体" w:cs="宋体"/>
          <w:bCs/>
          <w:sz w:val="24"/>
          <w:u w:val="single"/>
        </w:rPr>
        <w:t xml:space="preserve">                                                                           </w:t>
      </w:r>
    </w:p>
    <w:p>
      <w:pPr>
        <w:pStyle w:val="2"/>
        <w:keepNext w:val="0"/>
        <w:keepLines w:val="0"/>
        <w:numPr>
          <w:ilvl w:val="0"/>
          <w:numId w:val="0"/>
        </w:numPr>
        <w:tabs>
          <w:tab w:val="left" w:pos="1620"/>
          <w:tab w:val="left" w:pos="2340"/>
        </w:tabs>
        <w:spacing w:before="120" w:after="120"/>
        <w:rPr>
          <w:rFonts w:hint="eastAsia" w:ascii="宋体" w:hAnsi="宋体" w:eastAsia="宋体" w:cs="宋体"/>
        </w:rPr>
      </w:pPr>
      <w:bookmarkStart w:id="1344" w:name="_Toc25981"/>
      <w:bookmarkStart w:id="1345" w:name="_Toc305331442"/>
      <w:bookmarkStart w:id="1346" w:name="_Toc302635956"/>
      <w:bookmarkStart w:id="1347" w:name="_Toc67418736"/>
      <w:r>
        <w:rPr>
          <w:rFonts w:hint="eastAsia" w:ascii="宋体" w:hAnsi="宋体" w:eastAsia="宋体" w:cs="宋体"/>
        </w:rPr>
        <w:t>4 承包人</w:t>
      </w:r>
      <w:bookmarkEnd w:id="1343"/>
      <w:bookmarkEnd w:id="1344"/>
      <w:bookmarkEnd w:id="1345"/>
      <w:bookmarkEnd w:id="1346"/>
      <w:bookmarkEnd w:id="1347"/>
    </w:p>
    <w:p>
      <w:pPr>
        <w:pStyle w:val="3"/>
        <w:numPr>
          <w:ilvl w:val="0"/>
          <w:numId w:val="0"/>
        </w:numPr>
        <w:tabs>
          <w:tab w:val="left" w:pos="540"/>
          <w:tab w:val="left" w:pos="2340"/>
        </w:tabs>
        <w:spacing w:before="120" w:after="156"/>
        <w:ind w:left="180"/>
        <w:jc w:val="left"/>
        <w:rPr>
          <w:rFonts w:hint="eastAsia" w:ascii="宋体" w:hAnsi="宋体" w:eastAsia="宋体" w:cs="宋体"/>
          <w:sz w:val="24"/>
        </w:rPr>
      </w:pPr>
      <w:bookmarkStart w:id="1348" w:name="_Toc12168"/>
      <w:bookmarkStart w:id="1349" w:name="_Toc302635957"/>
      <w:bookmarkStart w:id="1350" w:name="_Toc67418737"/>
      <w:bookmarkStart w:id="1351" w:name="_Toc305331443"/>
      <w:r>
        <w:rPr>
          <w:rFonts w:hint="eastAsia" w:ascii="宋体" w:hAnsi="宋体" w:eastAsia="宋体" w:cs="宋体"/>
          <w:sz w:val="24"/>
        </w:rPr>
        <w:t>4.2 承包人的工作</w:t>
      </w:r>
      <w:bookmarkEnd w:id="1348"/>
      <w:bookmarkEnd w:id="1349"/>
      <w:bookmarkEnd w:id="1350"/>
      <w:bookmarkEnd w:id="1351"/>
    </w:p>
    <w:p>
      <w:pPr>
        <w:spacing w:line="360" w:lineRule="auto"/>
        <w:ind w:firstLine="480"/>
        <w:rPr>
          <w:rFonts w:hint="eastAsia" w:ascii="宋体" w:hAnsi="宋体" w:eastAsia="宋体" w:cs="宋体"/>
          <w:sz w:val="24"/>
        </w:rPr>
      </w:pPr>
      <w:r>
        <w:rPr>
          <w:rFonts w:hint="eastAsia" w:ascii="宋体" w:hAnsi="宋体" w:eastAsia="宋体" w:cs="宋体"/>
          <w:sz w:val="24"/>
        </w:rPr>
        <w:t>(1)承包人完成工作的要求：</w:t>
      </w:r>
    </w:p>
    <w:p>
      <w:pPr>
        <w:spacing w:line="360" w:lineRule="auto"/>
        <w:ind w:firstLine="480"/>
        <w:rPr>
          <w:rFonts w:hint="eastAsia" w:ascii="宋体" w:hAnsi="宋体" w:eastAsia="宋体" w:cs="宋体"/>
          <w:sz w:val="24"/>
          <w:u w:val="single"/>
        </w:rPr>
      </w:pPr>
      <w:bookmarkStart w:id="1352" w:name="_Toc35656527"/>
      <w:bookmarkStart w:id="1353" w:name="_Toc35656525"/>
      <w:r>
        <w:rPr>
          <w:rFonts w:hint="eastAsia" w:ascii="宋体" w:hAnsi="宋体" w:eastAsia="宋体" w:cs="宋体"/>
          <w:sz w:val="24"/>
        </w:rPr>
        <w:t>③承包人向发包人提供施工场地办公和生活的房屋及设施，费用承担方式为：</w:t>
      </w:r>
      <w:r>
        <w:rPr>
          <w:rFonts w:hint="eastAsia" w:ascii="宋体" w:hAnsi="宋体" w:eastAsia="宋体" w:cs="宋体"/>
          <w:sz w:val="24"/>
          <w:u w:val="single"/>
        </w:rPr>
        <w:t xml:space="preserve">                                                                       </w:t>
      </w:r>
    </w:p>
    <w:p>
      <w:pPr>
        <w:spacing w:line="360" w:lineRule="auto"/>
        <w:rPr>
          <w:rFonts w:hint="eastAsia" w:ascii="宋体" w:hAnsi="宋体" w:eastAsia="宋体" w:cs="宋体"/>
          <w:sz w:val="24"/>
          <w:u w:val="single"/>
        </w:rPr>
      </w:pPr>
      <w:r>
        <w:rPr>
          <w:rFonts w:hint="eastAsia" w:ascii="宋体" w:hAnsi="宋体" w:eastAsia="宋体" w:cs="宋体"/>
          <w:sz w:val="24"/>
          <w:u w:val="single"/>
        </w:rPr>
        <w:t xml:space="preserve">                                                                          </w:t>
      </w:r>
      <w:r>
        <w:rPr>
          <w:rFonts w:hint="eastAsia" w:ascii="宋体" w:hAnsi="宋体" w:eastAsia="宋体" w:cs="宋体"/>
          <w:sz w:val="24"/>
        </w:rPr>
        <w:t>；</w:t>
      </w:r>
    </w:p>
    <w:p>
      <w:pPr>
        <w:spacing w:line="360" w:lineRule="auto"/>
        <w:ind w:firstLine="480"/>
        <w:rPr>
          <w:rFonts w:hint="eastAsia" w:ascii="宋体" w:hAnsi="宋体" w:eastAsia="宋体" w:cs="宋体"/>
          <w:sz w:val="24"/>
        </w:rPr>
      </w:pPr>
      <w:r>
        <w:rPr>
          <w:rFonts w:hint="eastAsia" w:ascii="宋体" w:hAnsi="宋体" w:eastAsia="宋体" w:cs="宋体"/>
          <w:sz w:val="24"/>
        </w:rPr>
        <w:t>⑧承包人应在</w:t>
      </w:r>
      <w:r>
        <w:rPr>
          <w:rFonts w:hint="eastAsia" w:ascii="宋体" w:hAnsi="宋体" w:eastAsia="宋体" w:cs="宋体"/>
          <w:sz w:val="24"/>
          <w:u w:val="single"/>
        </w:rPr>
        <w:t xml:space="preserve">          </w:t>
      </w:r>
      <w:r>
        <w:rPr>
          <w:rFonts w:hint="eastAsia" w:ascii="宋体" w:hAnsi="宋体" w:eastAsia="宋体" w:cs="宋体"/>
          <w:sz w:val="24"/>
        </w:rPr>
        <w:t>前向发包人提交</w:t>
      </w:r>
      <w:r>
        <w:rPr>
          <w:rFonts w:hint="eastAsia" w:ascii="宋体" w:hAnsi="宋体" w:eastAsia="宋体" w:cs="宋体"/>
          <w:sz w:val="24"/>
          <w:u w:val="single"/>
        </w:rPr>
        <w:t xml:space="preserve">           </w:t>
      </w:r>
      <w:r>
        <w:rPr>
          <w:rFonts w:hint="eastAsia" w:ascii="宋体" w:hAnsi="宋体" w:eastAsia="宋体" w:cs="宋体"/>
          <w:sz w:val="24"/>
        </w:rPr>
        <w:t>套竣工资料。</w:t>
      </w:r>
    </w:p>
    <w:p>
      <w:pPr>
        <w:spacing w:line="360" w:lineRule="auto"/>
        <w:ind w:firstLine="480"/>
        <w:rPr>
          <w:rFonts w:hint="eastAsia" w:ascii="宋体" w:hAnsi="宋体" w:eastAsia="宋体" w:cs="宋体"/>
          <w:sz w:val="24"/>
          <w:u w:val="single"/>
        </w:rPr>
      </w:pPr>
      <w:r>
        <w:rPr>
          <w:rFonts w:hint="eastAsia" w:ascii="宋体" w:hAnsi="宋体" w:eastAsia="宋体" w:cs="宋体"/>
          <w:sz w:val="24"/>
        </w:rPr>
        <w:t>⑨约定承包人应做的其他工作：</w:t>
      </w:r>
      <w:r>
        <w:rPr>
          <w:rFonts w:hint="eastAsia" w:ascii="宋体" w:hAnsi="宋体" w:eastAsia="宋体" w:cs="宋体"/>
          <w:sz w:val="24"/>
          <w:u w:val="single"/>
        </w:rPr>
        <w:t xml:space="preserve">                                            </w:t>
      </w:r>
    </w:p>
    <w:p>
      <w:pPr>
        <w:spacing w:line="360" w:lineRule="auto"/>
        <w:rPr>
          <w:rFonts w:hint="eastAsia" w:ascii="宋体" w:hAnsi="宋体" w:eastAsia="宋体" w:cs="宋体"/>
          <w:sz w:val="24"/>
          <w:u w:val="single"/>
        </w:rPr>
      </w:pPr>
      <w:r>
        <w:rPr>
          <w:rFonts w:hint="eastAsia" w:ascii="宋体" w:hAnsi="宋体" w:eastAsia="宋体" w:cs="宋体"/>
          <w:sz w:val="24"/>
          <w:u w:val="single"/>
        </w:rPr>
        <w:t xml:space="preserve">                                                                            </w:t>
      </w:r>
    </w:p>
    <w:p>
      <w:pPr>
        <w:spacing w:line="360" w:lineRule="auto"/>
        <w:rPr>
          <w:rFonts w:hint="eastAsia" w:ascii="宋体" w:hAnsi="宋体" w:eastAsia="宋体" w:cs="宋体"/>
          <w:sz w:val="24"/>
          <w:u w:val="single"/>
        </w:rPr>
      </w:pPr>
      <w:r>
        <w:rPr>
          <w:rFonts w:hint="eastAsia" w:ascii="宋体" w:hAnsi="宋体" w:eastAsia="宋体" w:cs="宋体"/>
          <w:sz w:val="24"/>
          <w:u w:val="single"/>
        </w:rPr>
        <w:t xml:space="preserve">                                                                            </w:t>
      </w:r>
    </w:p>
    <w:p>
      <w:pPr>
        <w:spacing w:line="360" w:lineRule="auto"/>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 xml:space="preserve">  </w:t>
      </w:r>
    </w:p>
    <w:p>
      <w:pPr>
        <w:spacing w:line="360" w:lineRule="auto"/>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 xml:space="preserve">  </w:t>
      </w:r>
    </w:p>
    <w:p>
      <w:pPr>
        <w:pStyle w:val="3"/>
        <w:numPr>
          <w:ilvl w:val="0"/>
          <w:numId w:val="0"/>
        </w:numPr>
        <w:tabs>
          <w:tab w:val="left" w:pos="540"/>
          <w:tab w:val="left" w:pos="2340"/>
        </w:tabs>
        <w:spacing w:before="120" w:after="156"/>
        <w:ind w:left="180"/>
        <w:jc w:val="left"/>
        <w:rPr>
          <w:rFonts w:hint="eastAsia" w:ascii="宋体" w:hAnsi="宋体" w:eastAsia="宋体" w:cs="宋体"/>
          <w:sz w:val="24"/>
        </w:rPr>
      </w:pPr>
      <w:bookmarkStart w:id="1354" w:name="_Toc8597"/>
      <w:bookmarkStart w:id="1355" w:name="_Toc67418738"/>
      <w:bookmarkStart w:id="1356" w:name="_Toc305331444"/>
      <w:bookmarkStart w:id="1357" w:name="_Toc302635958"/>
      <w:r>
        <w:rPr>
          <w:rFonts w:hint="eastAsia" w:ascii="宋体" w:hAnsi="宋体" w:eastAsia="宋体" w:cs="宋体"/>
          <w:sz w:val="24"/>
        </w:rPr>
        <w:t>4.3</w:t>
      </w:r>
      <w:bookmarkEnd w:id="1352"/>
      <w:r>
        <w:rPr>
          <w:rFonts w:hint="eastAsia" w:ascii="宋体" w:hAnsi="宋体" w:eastAsia="宋体" w:cs="宋体"/>
          <w:sz w:val="24"/>
        </w:rPr>
        <w:t>项目经理的任命</w:t>
      </w:r>
      <w:bookmarkEnd w:id="1354"/>
      <w:bookmarkEnd w:id="1355"/>
      <w:bookmarkEnd w:id="1356"/>
      <w:bookmarkEnd w:id="1357"/>
    </w:p>
    <w:p>
      <w:pPr>
        <w:spacing w:line="360" w:lineRule="auto"/>
        <w:ind w:left="2" w:firstLine="480"/>
        <w:rPr>
          <w:rFonts w:hint="eastAsia" w:ascii="宋体" w:hAnsi="宋体" w:eastAsia="宋体" w:cs="宋体"/>
          <w:sz w:val="24"/>
          <w:u w:val="single"/>
        </w:rPr>
      </w:pPr>
      <w:r>
        <w:rPr>
          <w:rFonts w:hint="eastAsia" w:ascii="宋体" w:hAnsi="宋体" w:eastAsia="宋体" w:cs="宋体"/>
          <w:sz w:val="24"/>
        </w:rPr>
        <w:t>(2)承包人任命的项目经理姓名：</w:t>
      </w:r>
      <w:r>
        <w:rPr>
          <w:rFonts w:hint="eastAsia" w:ascii="宋体" w:hAnsi="宋体" w:eastAsia="宋体" w:cs="宋体"/>
          <w:sz w:val="24"/>
          <w:u w:val="single"/>
        </w:rPr>
        <w:t xml:space="preserve">            </w:t>
      </w:r>
      <w:r>
        <w:rPr>
          <w:rFonts w:hint="eastAsia" w:ascii="宋体" w:hAnsi="宋体" w:eastAsia="宋体" w:cs="宋体"/>
          <w:sz w:val="24"/>
        </w:rPr>
        <w:t>，资格证书号：</w:t>
      </w:r>
      <w:r>
        <w:rPr>
          <w:rFonts w:hint="eastAsia" w:ascii="宋体" w:hAnsi="宋体" w:eastAsia="宋体" w:cs="宋体"/>
          <w:sz w:val="24"/>
          <w:u w:val="single"/>
        </w:rPr>
        <w:t xml:space="preserve">                  </w:t>
      </w:r>
    </w:p>
    <w:p>
      <w:pPr>
        <w:spacing w:line="360" w:lineRule="auto"/>
        <w:ind w:left="2" w:firstLine="480"/>
        <w:rPr>
          <w:rFonts w:hint="eastAsia" w:ascii="宋体" w:hAnsi="宋体" w:eastAsia="宋体" w:cs="宋体"/>
          <w:sz w:val="24"/>
        </w:rPr>
      </w:pPr>
      <w:r>
        <w:rPr>
          <w:rFonts w:hint="eastAsia" w:ascii="宋体" w:hAnsi="宋体" w:eastAsia="宋体" w:cs="宋体"/>
          <w:sz w:val="24"/>
        </w:rPr>
        <w:t>(3)承包人的项目经理与投标文件的承诺不一致，或项目经理未及时到位，或同时兼任承包人其它工程项目的项目经理的，承包人应向发包人支付违约金每次</w:t>
      </w:r>
      <w:r>
        <w:rPr>
          <w:rFonts w:hint="eastAsia" w:ascii="宋体" w:hAnsi="宋体" w:eastAsia="宋体" w:cs="宋体"/>
          <w:sz w:val="24"/>
          <w:u w:val="single"/>
        </w:rPr>
        <w:t xml:space="preserve">           </w:t>
      </w:r>
      <w:r>
        <w:rPr>
          <w:rFonts w:hint="eastAsia" w:ascii="宋体" w:hAnsi="宋体" w:eastAsia="宋体" w:cs="宋体"/>
          <w:sz w:val="24"/>
        </w:rPr>
        <w:t>。</w:t>
      </w:r>
    </w:p>
    <w:p>
      <w:pPr>
        <w:pStyle w:val="3"/>
        <w:numPr>
          <w:ilvl w:val="0"/>
          <w:numId w:val="0"/>
        </w:numPr>
        <w:tabs>
          <w:tab w:val="left" w:pos="540"/>
          <w:tab w:val="left" w:pos="2340"/>
        </w:tabs>
        <w:spacing w:before="120" w:after="156"/>
        <w:ind w:left="180"/>
        <w:jc w:val="left"/>
        <w:rPr>
          <w:rFonts w:hint="eastAsia" w:ascii="宋体" w:hAnsi="宋体" w:eastAsia="宋体" w:cs="宋体"/>
          <w:sz w:val="24"/>
        </w:rPr>
      </w:pPr>
      <w:bookmarkStart w:id="1358" w:name="_Toc305331445"/>
      <w:bookmarkStart w:id="1359" w:name="_Toc302635959"/>
      <w:bookmarkStart w:id="1360" w:name="_Toc149"/>
      <w:bookmarkStart w:id="1361" w:name="_Toc67418739"/>
      <w:r>
        <w:rPr>
          <w:rFonts w:hint="eastAsia" w:ascii="宋体" w:hAnsi="宋体" w:eastAsia="宋体" w:cs="宋体"/>
          <w:sz w:val="24"/>
        </w:rPr>
        <w:t>4.4 项目经理的更换</w:t>
      </w:r>
      <w:bookmarkEnd w:id="1358"/>
      <w:bookmarkEnd w:id="1359"/>
      <w:bookmarkEnd w:id="1360"/>
      <w:bookmarkEnd w:id="1361"/>
    </w:p>
    <w:p>
      <w:pPr>
        <w:spacing w:line="360" w:lineRule="auto"/>
        <w:ind w:left="2" w:firstLine="480"/>
        <w:rPr>
          <w:rFonts w:hint="eastAsia" w:ascii="宋体" w:hAnsi="宋体" w:eastAsia="宋体" w:cs="宋体"/>
          <w:sz w:val="24"/>
        </w:rPr>
      </w:pPr>
      <w:r>
        <w:rPr>
          <w:rFonts w:hint="eastAsia" w:ascii="宋体" w:hAnsi="宋体" w:eastAsia="宋体" w:cs="宋体"/>
          <w:sz w:val="24"/>
        </w:rPr>
        <w:t>(2)承包人未经监理工程师及发包人同意更换项目经理的，承包人应向发包人支付违约金</w:t>
      </w:r>
      <w:r>
        <w:rPr>
          <w:rFonts w:hint="eastAsia" w:ascii="宋体" w:hAnsi="宋体" w:eastAsia="宋体" w:cs="宋体"/>
          <w:sz w:val="24"/>
          <w:u w:val="single"/>
        </w:rPr>
        <w:t xml:space="preserve">           </w:t>
      </w:r>
      <w:r>
        <w:rPr>
          <w:rFonts w:hint="eastAsia" w:ascii="宋体" w:hAnsi="宋体" w:eastAsia="宋体" w:cs="宋体"/>
          <w:sz w:val="24"/>
        </w:rPr>
        <w:t>元／次。</w:t>
      </w:r>
    </w:p>
    <w:p>
      <w:pPr>
        <w:spacing w:line="360" w:lineRule="auto"/>
        <w:ind w:left="2" w:firstLine="480"/>
        <w:rPr>
          <w:rFonts w:hint="eastAsia" w:ascii="宋体" w:hAnsi="宋体" w:eastAsia="宋体" w:cs="宋体"/>
          <w:sz w:val="24"/>
          <w:u w:val="single"/>
        </w:rPr>
      </w:pPr>
      <w:r>
        <w:rPr>
          <w:rFonts w:hint="eastAsia" w:ascii="宋体" w:hAnsi="宋体" w:eastAsia="宋体" w:cs="宋体"/>
          <w:sz w:val="24"/>
        </w:rPr>
        <w:t>(3)承包人无正当理由拒绝更换项目经理的违约责任：</w:t>
      </w:r>
      <w:r>
        <w:rPr>
          <w:rFonts w:hint="eastAsia" w:ascii="宋体" w:hAnsi="宋体" w:eastAsia="宋体" w:cs="宋体"/>
          <w:sz w:val="24"/>
          <w:u w:val="single"/>
        </w:rPr>
        <w:t xml:space="preserve">                         </w:t>
      </w:r>
    </w:p>
    <w:p>
      <w:pPr>
        <w:spacing w:line="360" w:lineRule="auto"/>
        <w:rPr>
          <w:rFonts w:hint="eastAsia" w:ascii="宋体" w:hAnsi="宋体" w:eastAsia="宋体" w:cs="宋体"/>
          <w:sz w:val="24"/>
        </w:rPr>
      </w:pPr>
      <w:bookmarkStart w:id="1362" w:name="_Toc305331446"/>
      <w:r>
        <w:rPr>
          <w:rFonts w:hint="eastAsia" w:ascii="宋体" w:hAnsi="宋体" w:eastAsia="宋体" w:cs="宋体"/>
          <w:sz w:val="24"/>
          <w:u w:val="single"/>
        </w:rPr>
        <w:t xml:space="preserve">                                                                            </w:t>
      </w:r>
      <w:r>
        <w:rPr>
          <w:rFonts w:hint="eastAsia" w:ascii="宋体" w:hAnsi="宋体" w:eastAsia="宋体" w:cs="宋体"/>
          <w:sz w:val="24"/>
        </w:rPr>
        <w:t xml:space="preserve">  </w:t>
      </w:r>
    </w:p>
    <w:p>
      <w:pPr>
        <w:pStyle w:val="3"/>
        <w:numPr>
          <w:ilvl w:val="0"/>
          <w:numId w:val="0"/>
        </w:numPr>
        <w:tabs>
          <w:tab w:val="left" w:pos="540"/>
          <w:tab w:val="left" w:pos="2340"/>
        </w:tabs>
        <w:spacing w:before="120" w:after="156"/>
        <w:ind w:left="180"/>
        <w:jc w:val="left"/>
        <w:rPr>
          <w:rFonts w:hint="eastAsia" w:ascii="宋体" w:hAnsi="宋体" w:eastAsia="宋体" w:cs="宋体"/>
          <w:sz w:val="24"/>
        </w:rPr>
      </w:pPr>
      <w:bookmarkStart w:id="1363" w:name="_Toc302635960"/>
      <w:bookmarkStart w:id="1364" w:name="_Toc67418740"/>
      <w:bookmarkStart w:id="1365" w:name="_Toc4878"/>
      <w:r>
        <w:rPr>
          <w:rFonts w:hint="eastAsia" w:ascii="宋体" w:hAnsi="宋体" w:eastAsia="宋体" w:cs="宋体"/>
          <w:sz w:val="24"/>
        </w:rPr>
        <w:t>4.6 施工管理人员</w:t>
      </w:r>
      <w:bookmarkEnd w:id="1362"/>
      <w:bookmarkEnd w:id="1363"/>
      <w:bookmarkEnd w:id="1364"/>
      <w:bookmarkEnd w:id="1365"/>
    </w:p>
    <w:p>
      <w:pPr>
        <w:spacing w:line="360" w:lineRule="auto"/>
        <w:ind w:left="2" w:firstLine="480"/>
        <w:rPr>
          <w:rFonts w:hint="eastAsia" w:ascii="宋体" w:hAnsi="宋体" w:eastAsia="宋体" w:cs="宋体"/>
          <w:sz w:val="24"/>
        </w:rPr>
      </w:pPr>
      <w:r>
        <w:rPr>
          <w:rFonts w:hint="eastAsia" w:ascii="宋体" w:hAnsi="宋体" w:eastAsia="宋体" w:cs="宋体"/>
          <w:sz w:val="24"/>
        </w:rPr>
        <w:t>(2)属于承包人主要施工管理人员的其他人员包括</w:t>
      </w:r>
      <w:r>
        <w:rPr>
          <w:rFonts w:hint="eastAsia" w:ascii="宋体" w:hAnsi="宋体" w:eastAsia="宋体" w:cs="宋体"/>
          <w:b/>
          <w:sz w:val="24"/>
          <w:u w:val="single"/>
        </w:rPr>
        <w:t xml:space="preserve">                         </w:t>
      </w:r>
      <w:r>
        <w:rPr>
          <w:rFonts w:hint="eastAsia" w:ascii="宋体" w:hAnsi="宋体" w:eastAsia="宋体" w:cs="宋体"/>
          <w:sz w:val="24"/>
        </w:rPr>
        <w:t>。</w:t>
      </w:r>
    </w:p>
    <w:p>
      <w:pPr>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(3)承包人主要施工管理人员离开施工现场的批准要求：</w:t>
      </w:r>
      <w:r>
        <w:rPr>
          <w:rFonts w:hint="eastAsia" w:ascii="宋体" w:hAnsi="宋体" w:eastAsia="宋体" w:cs="宋体"/>
          <w:sz w:val="24"/>
          <w:u w:val="single"/>
        </w:rPr>
        <w:t xml:space="preserve">                        </w:t>
      </w:r>
    </w:p>
    <w:p>
      <w:pPr>
        <w:spacing w:line="360" w:lineRule="auto"/>
        <w:rPr>
          <w:rFonts w:hint="eastAsia" w:ascii="宋体" w:hAnsi="宋体" w:eastAsia="宋体" w:cs="宋体"/>
          <w:sz w:val="24"/>
          <w:u w:val="single"/>
        </w:rPr>
      </w:pPr>
      <w:r>
        <w:rPr>
          <w:rFonts w:hint="eastAsia" w:ascii="宋体" w:hAnsi="宋体" w:eastAsia="宋体" w:cs="宋体"/>
          <w:sz w:val="24"/>
          <w:u w:val="single"/>
        </w:rPr>
        <w:t xml:space="preserve">                                                                            </w:t>
      </w:r>
    </w:p>
    <w:p>
      <w:pPr>
        <w:spacing w:line="360" w:lineRule="auto"/>
        <w:ind w:left="2" w:firstLine="480"/>
        <w:rPr>
          <w:rFonts w:hint="eastAsia" w:ascii="宋体" w:hAnsi="宋体" w:eastAsia="宋体" w:cs="宋体"/>
          <w:sz w:val="24"/>
        </w:rPr>
      </w:pPr>
      <w:r>
        <w:rPr>
          <w:rFonts w:hint="eastAsia" w:ascii="宋体" w:hAnsi="宋体" w:eastAsia="宋体" w:cs="宋体"/>
          <w:sz w:val="24"/>
        </w:rPr>
        <w:t>(5)承包人的管理人员在施工期间出现以下情况，应承担的违约责任：</w:t>
      </w:r>
    </w:p>
    <w:p>
      <w:pPr>
        <w:spacing w:line="360" w:lineRule="auto"/>
        <w:ind w:left="2" w:firstLine="480"/>
        <w:rPr>
          <w:rFonts w:hint="eastAsia" w:ascii="宋体" w:hAnsi="宋体" w:eastAsia="宋体" w:cs="宋体"/>
          <w:sz w:val="24"/>
        </w:rPr>
      </w:pPr>
      <w:r>
        <w:rPr>
          <w:rFonts w:hint="eastAsia" w:ascii="宋体" w:hAnsi="宋体" w:eastAsia="宋体" w:cs="宋体"/>
          <w:sz w:val="24"/>
        </w:rPr>
        <w:t>①承包人的项目管理机构设置与投标文件的承诺不一致的，承包人应向发包人支付违约金</w:t>
      </w:r>
      <w:r>
        <w:rPr>
          <w:rFonts w:hint="eastAsia" w:ascii="宋体" w:hAnsi="宋体" w:eastAsia="宋体" w:cs="宋体"/>
          <w:b/>
          <w:sz w:val="24"/>
          <w:u w:val="single"/>
        </w:rPr>
        <w:t xml:space="preserve">          </w:t>
      </w:r>
      <w:r>
        <w:rPr>
          <w:rFonts w:hint="eastAsia" w:ascii="宋体" w:hAnsi="宋体" w:eastAsia="宋体" w:cs="宋体"/>
          <w:sz w:val="24"/>
        </w:rPr>
        <w:t xml:space="preserve">； </w:t>
      </w:r>
    </w:p>
    <w:p>
      <w:pPr>
        <w:spacing w:line="360" w:lineRule="auto"/>
        <w:ind w:left="2" w:firstLine="480"/>
        <w:jc w:val="left"/>
        <w:rPr>
          <w:rFonts w:hint="eastAsia" w:ascii="宋体" w:hAnsi="宋体" w:eastAsia="宋体" w:cs="宋体"/>
          <w:sz w:val="24"/>
        </w:rPr>
      </w:pPr>
      <w:r>
        <w:rPr>
          <w:rFonts w:hint="eastAsia" w:ascii="宋体" w:hAnsi="宋体" w:eastAsia="宋体" w:cs="宋体"/>
          <w:sz w:val="24"/>
        </w:rPr>
        <w:t>②承包人的主要施工管理人员不到位的，承包人应向发包人支付违约金</w:t>
      </w:r>
      <w:r>
        <w:rPr>
          <w:rFonts w:hint="eastAsia" w:ascii="宋体" w:hAnsi="宋体" w:eastAsia="宋体" w:cs="宋体"/>
          <w:b/>
          <w:sz w:val="24"/>
          <w:u w:val="single"/>
        </w:rPr>
        <w:t xml:space="preserve">          </w:t>
      </w:r>
      <w:r>
        <w:rPr>
          <w:rFonts w:hint="eastAsia" w:ascii="宋体" w:hAnsi="宋体" w:eastAsia="宋体" w:cs="宋体"/>
          <w:sz w:val="24"/>
        </w:rPr>
        <w:t xml:space="preserve">元／人次； </w:t>
      </w:r>
    </w:p>
    <w:p>
      <w:pPr>
        <w:spacing w:line="360" w:lineRule="auto"/>
        <w:ind w:left="2" w:firstLine="480"/>
        <w:rPr>
          <w:rFonts w:hint="eastAsia" w:ascii="宋体" w:hAnsi="宋体" w:eastAsia="宋体" w:cs="宋体"/>
          <w:sz w:val="24"/>
        </w:rPr>
      </w:pPr>
      <w:r>
        <w:rPr>
          <w:rFonts w:hint="eastAsia" w:ascii="宋体" w:hAnsi="宋体" w:eastAsia="宋体" w:cs="宋体"/>
          <w:sz w:val="24"/>
        </w:rPr>
        <w:t>③未经发包人同意，承包人擅自更换主要施工管理人员的，承包人应向发包人支付违约金</w:t>
      </w:r>
      <w:r>
        <w:rPr>
          <w:rFonts w:hint="eastAsia" w:ascii="宋体" w:hAnsi="宋体" w:eastAsia="宋体" w:cs="宋体"/>
          <w:b/>
          <w:sz w:val="24"/>
          <w:u w:val="single"/>
        </w:rPr>
        <w:t xml:space="preserve">          </w:t>
      </w:r>
      <w:r>
        <w:rPr>
          <w:rFonts w:hint="eastAsia" w:ascii="宋体" w:hAnsi="宋体" w:eastAsia="宋体" w:cs="宋体"/>
          <w:sz w:val="24"/>
        </w:rPr>
        <w:t>元／人次；</w:t>
      </w:r>
    </w:p>
    <w:p>
      <w:pPr>
        <w:spacing w:line="360" w:lineRule="auto"/>
        <w:ind w:left="2" w:firstLine="480"/>
        <w:rPr>
          <w:rFonts w:hint="eastAsia" w:ascii="宋体" w:hAnsi="宋体" w:eastAsia="宋体" w:cs="宋体"/>
          <w:sz w:val="24"/>
        </w:rPr>
      </w:pPr>
      <w:r>
        <w:rPr>
          <w:rFonts w:hint="eastAsia" w:ascii="宋体" w:hAnsi="宋体" w:eastAsia="宋体" w:cs="宋体"/>
          <w:sz w:val="24"/>
        </w:rPr>
        <w:t>④承包人的主要施工管理人员未经监理人或发包人同意擅自离开施工现场的，承包人应向发包人支付违约金</w:t>
      </w:r>
      <w:r>
        <w:rPr>
          <w:rFonts w:hint="eastAsia" w:ascii="宋体" w:hAnsi="宋体" w:eastAsia="宋体" w:cs="宋体"/>
          <w:b/>
          <w:sz w:val="24"/>
          <w:u w:val="single"/>
        </w:rPr>
        <w:t xml:space="preserve">          </w:t>
      </w:r>
      <w:r>
        <w:rPr>
          <w:rFonts w:hint="eastAsia" w:ascii="宋体" w:hAnsi="宋体" w:eastAsia="宋体" w:cs="宋体"/>
          <w:sz w:val="24"/>
        </w:rPr>
        <w:t>元／人次；</w:t>
      </w:r>
    </w:p>
    <w:p>
      <w:pPr>
        <w:spacing w:line="360" w:lineRule="auto"/>
        <w:ind w:left="2" w:firstLine="480"/>
        <w:rPr>
          <w:rFonts w:hint="eastAsia" w:ascii="宋体" w:hAnsi="宋体" w:eastAsia="宋体" w:cs="宋体"/>
          <w:sz w:val="24"/>
        </w:rPr>
      </w:pPr>
      <w:r>
        <w:rPr>
          <w:rFonts w:hint="eastAsia" w:ascii="宋体" w:hAnsi="宋体" w:eastAsia="宋体" w:cs="宋体"/>
          <w:sz w:val="24"/>
        </w:rPr>
        <w:t>⑤承包人的主要施工管理人员同时兼任承包人其它工程项目的任何职务的，承包人应向发包人支付违约金</w:t>
      </w:r>
      <w:r>
        <w:rPr>
          <w:rFonts w:hint="eastAsia" w:ascii="宋体" w:hAnsi="宋体" w:eastAsia="宋体" w:cs="宋体"/>
          <w:b/>
          <w:sz w:val="24"/>
          <w:u w:val="single"/>
        </w:rPr>
        <w:t xml:space="preserve">          </w:t>
      </w:r>
      <w:r>
        <w:rPr>
          <w:rFonts w:hint="eastAsia" w:ascii="宋体" w:hAnsi="宋体" w:eastAsia="宋体" w:cs="宋体"/>
          <w:sz w:val="24"/>
        </w:rPr>
        <w:t>元／人次；</w:t>
      </w:r>
    </w:p>
    <w:p>
      <w:pPr>
        <w:spacing w:line="360" w:lineRule="auto"/>
        <w:ind w:left="2" w:firstLine="480"/>
        <w:rPr>
          <w:rFonts w:hint="eastAsia" w:ascii="宋体" w:hAnsi="宋体" w:eastAsia="宋体" w:cs="宋体"/>
          <w:sz w:val="24"/>
        </w:rPr>
      </w:pPr>
      <w:r>
        <w:rPr>
          <w:rFonts w:hint="eastAsia" w:ascii="宋体" w:hAnsi="宋体" w:eastAsia="宋体" w:cs="宋体"/>
          <w:sz w:val="24"/>
        </w:rPr>
        <w:t>(6)承包人无正当理由拒绝撤换的，</w:t>
      </w:r>
      <w:r>
        <w:rPr>
          <w:rFonts w:hint="eastAsia" w:ascii="宋体" w:hAnsi="宋体" w:eastAsia="宋体" w:cs="宋体"/>
          <w:sz w:val="24"/>
          <w:u w:val="single"/>
        </w:rPr>
        <w:t xml:space="preserve">                                        </w:t>
      </w:r>
      <w:r>
        <w:rPr>
          <w:rFonts w:hint="eastAsia" w:ascii="宋体" w:hAnsi="宋体" w:eastAsia="宋体" w:cs="宋体"/>
          <w:sz w:val="24"/>
        </w:rPr>
        <w:t>。</w:t>
      </w:r>
    </w:p>
    <w:bookmarkEnd w:id="1353"/>
    <w:p>
      <w:pPr>
        <w:pStyle w:val="2"/>
        <w:keepNext w:val="0"/>
        <w:keepLines w:val="0"/>
        <w:numPr>
          <w:ilvl w:val="0"/>
          <w:numId w:val="0"/>
        </w:numPr>
        <w:tabs>
          <w:tab w:val="left" w:pos="1620"/>
          <w:tab w:val="left" w:pos="2340"/>
        </w:tabs>
        <w:spacing w:before="120" w:after="120"/>
        <w:rPr>
          <w:rFonts w:hint="eastAsia" w:ascii="宋体" w:hAnsi="宋体" w:eastAsia="宋体" w:cs="宋体"/>
        </w:rPr>
      </w:pPr>
      <w:bookmarkStart w:id="1366" w:name="_Toc302635961"/>
      <w:bookmarkStart w:id="1367" w:name="_Toc35656526"/>
      <w:bookmarkStart w:id="1368" w:name="_Toc305331447"/>
      <w:bookmarkStart w:id="1369" w:name="_Toc67418741"/>
      <w:bookmarkStart w:id="1370" w:name="_Toc8290"/>
      <w:r>
        <w:rPr>
          <w:rFonts w:hint="eastAsia" w:ascii="宋体" w:hAnsi="宋体" w:eastAsia="宋体" w:cs="宋体"/>
        </w:rPr>
        <w:t>5 监理</w:t>
      </w:r>
      <w:bookmarkEnd w:id="1366"/>
      <w:bookmarkEnd w:id="1367"/>
      <w:bookmarkEnd w:id="1368"/>
      <w:r>
        <w:rPr>
          <w:rFonts w:hint="eastAsia" w:ascii="宋体" w:hAnsi="宋体" w:eastAsia="宋体" w:cs="宋体"/>
        </w:rPr>
        <w:t>人</w:t>
      </w:r>
      <w:bookmarkEnd w:id="1369"/>
      <w:bookmarkEnd w:id="1370"/>
    </w:p>
    <w:p>
      <w:pPr>
        <w:pStyle w:val="3"/>
        <w:numPr>
          <w:ilvl w:val="0"/>
          <w:numId w:val="0"/>
        </w:numPr>
        <w:tabs>
          <w:tab w:val="left" w:pos="540"/>
          <w:tab w:val="left" w:pos="2340"/>
        </w:tabs>
        <w:spacing w:before="120" w:after="156"/>
        <w:ind w:left="180"/>
        <w:jc w:val="left"/>
        <w:rPr>
          <w:rFonts w:hint="eastAsia" w:ascii="宋体" w:hAnsi="宋体" w:eastAsia="宋体" w:cs="宋体"/>
          <w:sz w:val="24"/>
        </w:rPr>
      </w:pPr>
      <w:bookmarkStart w:id="1371" w:name="_Toc305331448"/>
      <w:bookmarkStart w:id="1372" w:name="_Toc302635962"/>
      <w:bookmarkStart w:id="1373" w:name="_Toc28826"/>
      <w:bookmarkStart w:id="1374" w:name="_Toc67418742"/>
      <w:r>
        <w:rPr>
          <w:rFonts w:hint="eastAsia" w:ascii="宋体" w:hAnsi="宋体" w:eastAsia="宋体" w:cs="宋体"/>
          <w:sz w:val="24"/>
        </w:rPr>
        <w:t>5.1 监理人的</w:t>
      </w:r>
      <w:bookmarkEnd w:id="1371"/>
      <w:bookmarkEnd w:id="1372"/>
      <w:r>
        <w:rPr>
          <w:rFonts w:hint="eastAsia" w:ascii="宋体" w:hAnsi="宋体" w:eastAsia="宋体" w:cs="宋体"/>
          <w:sz w:val="24"/>
        </w:rPr>
        <w:t>通知</w:t>
      </w:r>
      <w:bookmarkEnd w:id="1373"/>
      <w:bookmarkEnd w:id="1374"/>
    </w:p>
    <w:p>
      <w:pPr>
        <w:spacing w:line="360" w:lineRule="auto"/>
        <w:ind w:firstLine="720"/>
        <w:rPr>
          <w:rFonts w:hint="eastAsia" w:ascii="宋体" w:hAnsi="宋体" w:eastAsia="宋体" w:cs="宋体"/>
          <w:sz w:val="24"/>
        </w:rPr>
      </w:pPr>
      <w:r>
        <w:rPr>
          <w:rFonts w:hint="eastAsia" w:ascii="宋体" w:hAnsi="宋体" w:eastAsia="宋体" w:cs="宋体"/>
          <w:sz w:val="24"/>
        </w:rPr>
        <w:t>监理人名称：</w:t>
      </w:r>
      <w:r>
        <w:rPr>
          <w:rFonts w:hint="eastAsia" w:ascii="宋体" w:hAnsi="宋体" w:eastAsia="宋体" w:cs="宋体"/>
          <w:sz w:val="24"/>
          <w:u w:val="single"/>
        </w:rPr>
        <w:t xml:space="preserve">                           </w:t>
      </w:r>
      <w:r>
        <w:rPr>
          <w:rFonts w:hint="eastAsia" w:ascii="宋体" w:hAnsi="宋体" w:eastAsia="宋体" w:cs="宋体"/>
          <w:sz w:val="24"/>
        </w:rPr>
        <w:t>；</w:t>
      </w:r>
    </w:p>
    <w:p>
      <w:pPr>
        <w:spacing w:line="360" w:lineRule="auto"/>
        <w:ind w:firstLine="720"/>
        <w:rPr>
          <w:rFonts w:hint="eastAsia" w:ascii="宋体" w:hAnsi="宋体" w:eastAsia="宋体" w:cs="宋体"/>
          <w:sz w:val="24"/>
        </w:rPr>
      </w:pPr>
      <w:r>
        <w:rPr>
          <w:rFonts w:hint="eastAsia" w:ascii="宋体" w:hAnsi="宋体" w:eastAsia="宋体" w:cs="宋体"/>
          <w:sz w:val="24"/>
        </w:rPr>
        <w:t>总监理工程师姓名：</w:t>
      </w:r>
      <w:r>
        <w:rPr>
          <w:rFonts w:hint="eastAsia" w:ascii="宋体" w:hAnsi="宋体" w:eastAsia="宋体" w:cs="宋体"/>
          <w:sz w:val="24"/>
          <w:u w:val="single"/>
        </w:rPr>
        <w:t xml:space="preserve">           </w:t>
      </w:r>
      <w:r>
        <w:rPr>
          <w:rFonts w:hint="eastAsia" w:ascii="宋体" w:hAnsi="宋体" w:eastAsia="宋体" w:cs="宋体"/>
          <w:sz w:val="24"/>
        </w:rPr>
        <w:t>，资格证书号：</w:t>
      </w:r>
      <w:r>
        <w:rPr>
          <w:rFonts w:hint="eastAsia" w:ascii="宋体" w:hAnsi="宋体" w:eastAsia="宋体" w:cs="宋体"/>
          <w:sz w:val="24"/>
          <w:u w:val="single"/>
        </w:rPr>
        <w:t xml:space="preserve">             </w:t>
      </w:r>
      <w:r>
        <w:rPr>
          <w:rFonts w:hint="eastAsia" w:ascii="宋体" w:hAnsi="宋体" w:eastAsia="宋体" w:cs="宋体"/>
          <w:sz w:val="24"/>
        </w:rPr>
        <w:t>；</w:t>
      </w:r>
    </w:p>
    <w:p>
      <w:pPr>
        <w:pStyle w:val="3"/>
        <w:numPr>
          <w:ilvl w:val="0"/>
          <w:numId w:val="0"/>
        </w:numPr>
        <w:tabs>
          <w:tab w:val="left" w:pos="540"/>
          <w:tab w:val="left" w:pos="2340"/>
        </w:tabs>
        <w:spacing w:before="120" w:after="156"/>
        <w:ind w:left="180"/>
        <w:jc w:val="left"/>
        <w:rPr>
          <w:rFonts w:hint="eastAsia" w:ascii="宋体" w:hAnsi="宋体" w:eastAsia="宋体" w:cs="宋体"/>
          <w:sz w:val="24"/>
        </w:rPr>
      </w:pPr>
      <w:bookmarkStart w:id="1375" w:name="_Toc305331449"/>
      <w:bookmarkStart w:id="1376" w:name="_Toc67418743"/>
      <w:bookmarkStart w:id="1377" w:name="_Toc302635963"/>
      <w:bookmarkStart w:id="1378" w:name="_Toc1031"/>
      <w:r>
        <w:rPr>
          <w:rFonts w:hint="eastAsia" w:ascii="宋体" w:hAnsi="宋体" w:eastAsia="宋体" w:cs="宋体"/>
          <w:sz w:val="24"/>
        </w:rPr>
        <w:t>5.3监理人权力的限制</w:t>
      </w:r>
      <w:bookmarkEnd w:id="1375"/>
      <w:bookmarkEnd w:id="1376"/>
      <w:bookmarkEnd w:id="1377"/>
      <w:bookmarkEnd w:id="1378"/>
    </w:p>
    <w:p>
      <w:pPr>
        <w:spacing w:line="360" w:lineRule="auto"/>
        <w:ind w:firstLine="720"/>
        <w:rPr>
          <w:rFonts w:hint="eastAsia" w:ascii="宋体" w:hAnsi="宋体" w:eastAsia="宋体" w:cs="宋体"/>
          <w:sz w:val="24"/>
          <w:u w:val="single"/>
        </w:rPr>
      </w:pPr>
      <w:r>
        <w:rPr>
          <w:rFonts w:hint="eastAsia" w:ascii="宋体" w:hAnsi="宋体" w:eastAsia="宋体" w:cs="宋体"/>
          <w:sz w:val="24"/>
        </w:rPr>
        <w:t>(1)⑧监理人行使的其他需要取得发包人批准的权力：</w:t>
      </w:r>
      <w:bookmarkStart w:id="1379" w:name="_Toc35656528"/>
      <w:r>
        <w:rPr>
          <w:rFonts w:hint="eastAsia" w:ascii="宋体" w:hAnsi="宋体" w:eastAsia="宋体" w:cs="宋体"/>
          <w:sz w:val="24"/>
          <w:u w:val="single"/>
        </w:rPr>
        <w:t xml:space="preserve">                        </w:t>
      </w:r>
    </w:p>
    <w:p>
      <w:pPr>
        <w:spacing w:line="360" w:lineRule="auto"/>
        <w:rPr>
          <w:rFonts w:hint="eastAsia" w:ascii="宋体" w:hAnsi="宋体" w:eastAsia="宋体" w:cs="宋体"/>
          <w:sz w:val="24"/>
          <w:u w:val="single"/>
        </w:rPr>
      </w:pPr>
      <w:r>
        <w:rPr>
          <w:rFonts w:hint="eastAsia" w:ascii="宋体" w:hAnsi="宋体" w:eastAsia="宋体" w:cs="宋体"/>
          <w:sz w:val="24"/>
          <w:u w:val="single"/>
        </w:rPr>
        <w:t xml:space="preserve">                                                                            </w:t>
      </w:r>
    </w:p>
    <w:p>
      <w:pPr>
        <w:spacing w:line="360" w:lineRule="auto"/>
        <w:rPr>
          <w:rFonts w:hint="eastAsia" w:ascii="宋体" w:hAnsi="宋体" w:eastAsia="宋体" w:cs="宋体"/>
          <w:sz w:val="24"/>
          <w:u w:val="single"/>
        </w:rPr>
      </w:pPr>
      <w:r>
        <w:rPr>
          <w:rFonts w:hint="eastAsia" w:ascii="宋体" w:hAnsi="宋体" w:eastAsia="宋体" w:cs="宋体"/>
          <w:sz w:val="24"/>
          <w:u w:val="single"/>
        </w:rPr>
        <w:t xml:space="preserve">                                                                            </w:t>
      </w:r>
    </w:p>
    <w:p>
      <w:pPr>
        <w:spacing w:line="360" w:lineRule="auto"/>
        <w:rPr>
          <w:rFonts w:hint="eastAsia" w:ascii="宋体" w:hAnsi="宋体" w:eastAsia="宋体" w:cs="宋体"/>
          <w:sz w:val="24"/>
        </w:rPr>
      </w:pPr>
      <w:r>
        <w:rPr>
          <w:rFonts w:hint="eastAsia" w:ascii="宋体" w:hAnsi="宋体" w:eastAsia="宋体" w:cs="宋体"/>
          <w:sz w:val="24"/>
          <w:u w:val="single"/>
        </w:rPr>
        <w:t xml:space="preserve">                                                                            </w:t>
      </w:r>
    </w:p>
    <w:p>
      <w:pPr>
        <w:pStyle w:val="2"/>
        <w:keepNext w:val="0"/>
        <w:keepLines w:val="0"/>
        <w:numPr>
          <w:ilvl w:val="0"/>
          <w:numId w:val="0"/>
        </w:numPr>
        <w:tabs>
          <w:tab w:val="left" w:pos="1620"/>
          <w:tab w:val="left" w:pos="2340"/>
        </w:tabs>
        <w:spacing w:before="120" w:after="120"/>
        <w:rPr>
          <w:rFonts w:hint="eastAsia" w:ascii="宋体" w:hAnsi="宋体" w:eastAsia="宋体" w:cs="宋体"/>
        </w:rPr>
      </w:pPr>
      <w:bookmarkStart w:id="1380" w:name="_Toc67418744"/>
      <w:bookmarkStart w:id="1381" w:name="_Toc305331450"/>
      <w:bookmarkStart w:id="1382" w:name="_Toc14191"/>
      <w:bookmarkStart w:id="1383" w:name="_Toc302635964"/>
      <w:r>
        <w:rPr>
          <w:rFonts w:hint="eastAsia" w:ascii="宋体" w:hAnsi="宋体" w:eastAsia="宋体" w:cs="宋体"/>
        </w:rPr>
        <w:t>6 转让、分包</w:t>
      </w:r>
      <w:bookmarkEnd w:id="1379"/>
      <w:bookmarkEnd w:id="1380"/>
      <w:bookmarkEnd w:id="1381"/>
      <w:bookmarkEnd w:id="1382"/>
      <w:bookmarkEnd w:id="1383"/>
    </w:p>
    <w:p>
      <w:pPr>
        <w:pStyle w:val="3"/>
        <w:numPr>
          <w:ilvl w:val="0"/>
          <w:numId w:val="0"/>
        </w:numPr>
        <w:tabs>
          <w:tab w:val="left" w:pos="540"/>
          <w:tab w:val="left" w:pos="2340"/>
        </w:tabs>
        <w:spacing w:before="120" w:after="156"/>
        <w:ind w:left="180"/>
        <w:jc w:val="left"/>
        <w:rPr>
          <w:rFonts w:hint="eastAsia" w:ascii="宋体" w:hAnsi="宋体" w:eastAsia="宋体" w:cs="宋体"/>
          <w:sz w:val="24"/>
        </w:rPr>
      </w:pPr>
      <w:bookmarkStart w:id="1384" w:name="_Toc302635965"/>
      <w:bookmarkStart w:id="1385" w:name="_Toc305331451"/>
      <w:bookmarkStart w:id="1386" w:name="_Toc67418745"/>
      <w:bookmarkStart w:id="1387" w:name="_Toc9820"/>
      <w:bookmarkStart w:id="1388" w:name="_Toc35656529"/>
      <w:r>
        <w:rPr>
          <w:rFonts w:hint="eastAsia" w:ascii="宋体" w:hAnsi="宋体" w:eastAsia="宋体" w:cs="宋体"/>
          <w:sz w:val="24"/>
        </w:rPr>
        <w:t>6.1 转让</w:t>
      </w:r>
      <w:bookmarkEnd w:id="1384"/>
      <w:bookmarkEnd w:id="1385"/>
      <w:bookmarkEnd w:id="1386"/>
      <w:bookmarkEnd w:id="1387"/>
    </w:p>
    <w:p>
      <w:pPr>
        <w:spacing w:line="360" w:lineRule="auto"/>
        <w:ind w:firstLine="600"/>
        <w:rPr>
          <w:rFonts w:hint="eastAsia" w:ascii="宋体" w:hAnsi="宋体" w:eastAsia="宋体" w:cs="宋体"/>
          <w:sz w:val="24"/>
        </w:rPr>
      </w:pPr>
      <w:r>
        <w:rPr>
          <w:rFonts w:hint="eastAsia" w:ascii="宋体" w:hAnsi="宋体" w:eastAsia="宋体" w:cs="宋体"/>
          <w:sz w:val="24"/>
        </w:rPr>
        <w:t>如承包人有转让行为，应向发包人支付违约金</w:t>
      </w:r>
      <w:r>
        <w:rPr>
          <w:rFonts w:hint="eastAsia" w:ascii="宋体" w:hAnsi="宋体" w:eastAsia="宋体" w:cs="宋体"/>
          <w:sz w:val="24"/>
          <w:u w:val="single"/>
        </w:rPr>
        <w:t xml:space="preserve">          </w:t>
      </w:r>
      <w:r>
        <w:rPr>
          <w:rFonts w:hint="eastAsia" w:ascii="宋体" w:hAnsi="宋体" w:eastAsia="宋体" w:cs="宋体"/>
          <w:sz w:val="24"/>
        </w:rPr>
        <w:t>元/次。</w:t>
      </w:r>
    </w:p>
    <w:p>
      <w:pPr>
        <w:pStyle w:val="3"/>
        <w:numPr>
          <w:ilvl w:val="0"/>
          <w:numId w:val="0"/>
        </w:numPr>
        <w:tabs>
          <w:tab w:val="left" w:pos="540"/>
          <w:tab w:val="left" w:pos="2340"/>
        </w:tabs>
        <w:spacing w:before="120" w:after="156"/>
        <w:ind w:left="180"/>
        <w:jc w:val="left"/>
        <w:rPr>
          <w:rFonts w:hint="eastAsia" w:ascii="宋体" w:hAnsi="宋体" w:eastAsia="宋体" w:cs="宋体"/>
          <w:sz w:val="24"/>
        </w:rPr>
      </w:pPr>
      <w:bookmarkStart w:id="1389" w:name="_Toc302635966"/>
      <w:bookmarkStart w:id="1390" w:name="_Toc305331452"/>
      <w:bookmarkStart w:id="1391" w:name="_Toc67418746"/>
      <w:bookmarkStart w:id="1392" w:name="_Toc1945"/>
      <w:r>
        <w:rPr>
          <w:rFonts w:hint="eastAsia" w:ascii="宋体" w:hAnsi="宋体" w:eastAsia="宋体" w:cs="宋体"/>
          <w:sz w:val="24"/>
        </w:rPr>
        <w:t>6.2 分包</w:t>
      </w:r>
      <w:bookmarkEnd w:id="1389"/>
      <w:bookmarkEnd w:id="1390"/>
      <w:bookmarkEnd w:id="1391"/>
      <w:bookmarkEnd w:id="1392"/>
    </w:p>
    <w:p>
      <w:pPr>
        <w:spacing w:line="360" w:lineRule="auto"/>
        <w:ind w:left="2" w:firstLine="480"/>
        <w:rPr>
          <w:rFonts w:hint="eastAsia" w:ascii="宋体" w:hAnsi="宋体" w:eastAsia="宋体" w:cs="宋体"/>
          <w:sz w:val="24"/>
          <w:u w:val="single"/>
        </w:rPr>
      </w:pPr>
      <w:r>
        <w:rPr>
          <w:rFonts w:hint="eastAsia" w:ascii="宋体" w:hAnsi="宋体" w:eastAsia="宋体" w:cs="宋体"/>
          <w:sz w:val="24"/>
        </w:rPr>
        <w:t>(2)承包人不得分包的主体结构、关键性工作范围包括：</w:t>
      </w:r>
      <w:r>
        <w:rPr>
          <w:rFonts w:hint="eastAsia" w:ascii="宋体" w:hAnsi="宋体" w:eastAsia="宋体" w:cs="宋体"/>
          <w:sz w:val="24"/>
          <w:u w:val="single"/>
        </w:rPr>
        <w:t xml:space="preserve">                       </w:t>
      </w:r>
    </w:p>
    <w:p>
      <w:pPr>
        <w:spacing w:line="360" w:lineRule="auto"/>
        <w:ind w:left="2" w:hanging="2"/>
        <w:rPr>
          <w:rFonts w:hint="eastAsia" w:ascii="宋体" w:hAnsi="宋体" w:eastAsia="宋体" w:cs="宋体"/>
          <w:sz w:val="24"/>
          <w:u w:val="single"/>
        </w:rPr>
      </w:pPr>
      <w:r>
        <w:rPr>
          <w:rFonts w:hint="eastAsia" w:ascii="宋体" w:hAnsi="宋体" w:eastAsia="宋体" w:cs="宋体"/>
          <w:sz w:val="24"/>
          <w:u w:val="single"/>
        </w:rPr>
        <w:t xml:space="preserve">                                                                          </w:t>
      </w:r>
      <w:r>
        <w:rPr>
          <w:rFonts w:hint="eastAsia" w:ascii="宋体" w:hAnsi="宋体" w:eastAsia="宋体" w:cs="宋体"/>
          <w:sz w:val="24"/>
        </w:rPr>
        <w:t>。</w:t>
      </w:r>
    </w:p>
    <w:p>
      <w:pPr>
        <w:spacing w:line="360" w:lineRule="auto"/>
        <w:ind w:firstLine="480"/>
        <w:jc w:val="left"/>
        <w:rPr>
          <w:rFonts w:hint="eastAsia" w:ascii="宋体" w:hAnsi="宋体" w:eastAsia="宋体" w:cs="宋体"/>
          <w:sz w:val="24"/>
        </w:rPr>
      </w:pPr>
      <w:r>
        <w:rPr>
          <w:rFonts w:hint="eastAsia" w:ascii="宋体" w:hAnsi="宋体" w:eastAsia="宋体" w:cs="宋体"/>
          <w:sz w:val="24"/>
        </w:rPr>
        <w:t>(3)如出现承包人未经监理人审查和发包人同意的分包行为，承包人应向发包人支付违约金</w:t>
      </w:r>
      <w:r>
        <w:rPr>
          <w:rFonts w:hint="eastAsia" w:ascii="宋体" w:hAnsi="宋体" w:eastAsia="宋体" w:cs="宋体"/>
          <w:sz w:val="24"/>
          <w:u w:val="single"/>
        </w:rPr>
        <w:t xml:space="preserve">        </w:t>
      </w:r>
      <w:r>
        <w:rPr>
          <w:rFonts w:hint="eastAsia" w:ascii="宋体" w:hAnsi="宋体" w:eastAsia="宋体" w:cs="宋体"/>
          <w:sz w:val="24"/>
        </w:rPr>
        <w:t>元/次。</w:t>
      </w:r>
    </w:p>
    <w:p>
      <w:pPr>
        <w:spacing w:line="360" w:lineRule="auto"/>
        <w:ind w:firstLine="480"/>
        <w:rPr>
          <w:rFonts w:hint="eastAsia" w:ascii="宋体" w:hAnsi="宋体" w:eastAsia="宋体" w:cs="宋体"/>
          <w:sz w:val="24"/>
        </w:rPr>
      </w:pPr>
      <w:r>
        <w:rPr>
          <w:rFonts w:hint="eastAsia" w:ascii="宋体" w:hAnsi="宋体" w:eastAsia="宋体" w:cs="宋体"/>
          <w:sz w:val="24"/>
        </w:rPr>
        <w:t>(4)如出现分包人将分包工程的任何部分再分包的行为，承包人应向发包人支付违约金</w:t>
      </w:r>
      <w:r>
        <w:rPr>
          <w:rFonts w:hint="eastAsia" w:ascii="宋体" w:hAnsi="宋体" w:eastAsia="宋体" w:cs="宋体"/>
          <w:sz w:val="24"/>
          <w:u w:val="single"/>
        </w:rPr>
        <w:t xml:space="preserve">       </w:t>
      </w:r>
      <w:r>
        <w:rPr>
          <w:rFonts w:hint="eastAsia" w:ascii="宋体" w:hAnsi="宋体" w:eastAsia="宋体" w:cs="宋体"/>
          <w:sz w:val="24"/>
        </w:rPr>
        <w:t>元/次。</w:t>
      </w:r>
    </w:p>
    <w:p>
      <w:pPr>
        <w:spacing w:line="360" w:lineRule="auto"/>
        <w:ind w:firstLine="480"/>
        <w:rPr>
          <w:rFonts w:hint="eastAsia" w:ascii="宋体" w:hAnsi="宋体" w:eastAsia="宋体" w:cs="宋体"/>
          <w:sz w:val="24"/>
        </w:rPr>
      </w:pPr>
      <w:r>
        <w:rPr>
          <w:rFonts w:hint="eastAsia" w:ascii="宋体" w:hAnsi="宋体" w:eastAsia="宋体" w:cs="宋体"/>
          <w:sz w:val="24"/>
        </w:rPr>
        <w:t>(5)如承包人有将其承包范围内全部工程肢解分包的行为，应向发包人支付违约金</w:t>
      </w:r>
      <w:r>
        <w:rPr>
          <w:rFonts w:hint="eastAsia" w:ascii="宋体" w:hAnsi="宋体" w:eastAsia="宋体" w:cs="宋体"/>
          <w:sz w:val="24"/>
          <w:u w:val="single"/>
        </w:rPr>
        <w:t xml:space="preserve">        </w:t>
      </w:r>
      <w:r>
        <w:rPr>
          <w:rFonts w:hint="eastAsia" w:ascii="宋体" w:hAnsi="宋体" w:eastAsia="宋体" w:cs="宋体"/>
          <w:sz w:val="24"/>
        </w:rPr>
        <w:t>元/次。</w:t>
      </w:r>
    </w:p>
    <w:p>
      <w:pPr>
        <w:pStyle w:val="3"/>
        <w:numPr>
          <w:ilvl w:val="0"/>
          <w:numId w:val="0"/>
        </w:numPr>
        <w:tabs>
          <w:tab w:val="left" w:pos="540"/>
          <w:tab w:val="left" w:pos="2340"/>
        </w:tabs>
        <w:spacing w:before="120" w:after="156"/>
        <w:ind w:left="180"/>
        <w:jc w:val="left"/>
        <w:rPr>
          <w:rFonts w:hint="eastAsia" w:ascii="宋体" w:hAnsi="宋体" w:eastAsia="宋体" w:cs="宋体"/>
          <w:sz w:val="24"/>
        </w:rPr>
      </w:pPr>
      <w:bookmarkStart w:id="1393" w:name="_Toc67418747"/>
      <w:bookmarkStart w:id="1394" w:name="_Toc305331453"/>
      <w:bookmarkStart w:id="1395" w:name="_Toc302635967"/>
      <w:bookmarkStart w:id="1396" w:name="_Toc15748"/>
      <w:r>
        <w:rPr>
          <w:rFonts w:hint="eastAsia" w:ascii="宋体" w:hAnsi="宋体" w:eastAsia="宋体" w:cs="宋体"/>
          <w:sz w:val="24"/>
        </w:rPr>
        <w:t>6.3 分包人的确定</w:t>
      </w:r>
      <w:bookmarkEnd w:id="1393"/>
      <w:bookmarkEnd w:id="1394"/>
      <w:bookmarkEnd w:id="1395"/>
      <w:bookmarkEnd w:id="1396"/>
    </w:p>
    <w:p>
      <w:pPr>
        <w:spacing w:line="360" w:lineRule="auto"/>
        <w:ind w:left="2" w:firstLine="480"/>
        <w:rPr>
          <w:rFonts w:hint="eastAsia" w:ascii="宋体" w:hAnsi="宋体" w:eastAsia="宋体" w:cs="宋体"/>
          <w:sz w:val="24"/>
          <w:u w:val="single"/>
        </w:rPr>
      </w:pPr>
      <w:r>
        <w:rPr>
          <w:rFonts w:hint="eastAsia" w:ascii="宋体" w:hAnsi="宋体" w:eastAsia="宋体" w:cs="宋体"/>
          <w:sz w:val="24"/>
        </w:rPr>
        <w:t>(1)分包人应符合的条件：</w:t>
      </w:r>
      <w:r>
        <w:rPr>
          <w:rFonts w:hint="eastAsia" w:ascii="宋体" w:hAnsi="宋体" w:eastAsia="宋体" w:cs="宋体"/>
          <w:sz w:val="24"/>
          <w:u w:val="single"/>
        </w:rPr>
        <w:t xml:space="preserve">                                                 </w:t>
      </w:r>
    </w:p>
    <w:p>
      <w:pPr>
        <w:spacing w:line="360" w:lineRule="auto"/>
        <w:ind w:left="2" w:hanging="2"/>
        <w:rPr>
          <w:rFonts w:hint="eastAsia" w:ascii="宋体" w:hAnsi="宋体" w:eastAsia="宋体" w:cs="宋体"/>
          <w:sz w:val="24"/>
          <w:u w:val="single"/>
        </w:rPr>
      </w:pPr>
      <w:r>
        <w:rPr>
          <w:rFonts w:hint="eastAsia" w:ascii="宋体" w:hAnsi="宋体" w:eastAsia="宋体" w:cs="宋体"/>
          <w:sz w:val="24"/>
          <w:u w:val="single"/>
        </w:rPr>
        <w:t xml:space="preserve">                                                                            </w:t>
      </w:r>
    </w:p>
    <w:p>
      <w:pPr>
        <w:spacing w:line="360" w:lineRule="auto"/>
        <w:ind w:left="2" w:hanging="2"/>
        <w:rPr>
          <w:rFonts w:hint="eastAsia" w:ascii="宋体" w:hAnsi="宋体" w:eastAsia="宋体" w:cs="宋体"/>
          <w:sz w:val="24"/>
          <w:u w:val="single"/>
        </w:rPr>
      </w:pPr>
      <w:r>
        <w:rPr>
          <w:rFonts w:hint="eastAsia" w:ascii="宋体" w:hAnsi="宋体" w:eastAsia="宋体" w:cs="宋体"/>
          <w:sz w:val="24"/>
          <w:u w:val="single"/>
        </w:rPr>
        <w:t xml:space="preserve">                                                                            </w:t>
      </w:r>
    </w:p>
    <w:p>
      <w:pPr>
        <w:pStyle w:val="2"/>
        <w:keepNext w:val="0"/>
        <w:keepLines w:val="0"/>
        <w:numPr>
          <w:ilvl w:val="0"/>
          <w:numId w:val="0"/>
        </w:numPr>
        <w:tabs>
          <w:tab w:val="left" w:pos="1620"/>
          <w:tab w:val="left" w:pos="2340"/>
        </w:tabs>
        <w:spacing w:before="120" w:after="120"/>
        <w:rPr>
          <w:rFonts w:hint="eastAsia" w:ascii="宋体" w:hAnsi="宋体" w:eastAsia="宋体" w:cs="宋体"/>
        </w:rPr>
      </w:pPr>
      <w:bookmarkStart w:id="1397" w:name="_Toc9170"/>
      <w:bookmarkStart w:id="1398" w:name="_Toc302635968"/>
      <w:bookmarkStart w:id="1399" w:name="_Toc305331454"/>
      <w:bookmarkStart w:id="1400" w:name="_Toc67418748"/>
      <w:r>
        <w:rPr>
          <w:rFonts w:hint="eastAsia" w:ascii="宋体" w:hAnsi="宋体" w:eastAsia="宋体" w:cs="宋体"/>
        </w:rPr>
        <w:t>7 专业工程发包</w:t>
      </w:r>
      <w:bookmarkEnd w:id="1397"/>
      <w:bookmarkEnd w:id="1398"/>
      <w:bookmarkEnd w:id="1399"/>
      <w:bookmarkEnd w:id="1400"/>
    </w:p>
    <w:p>
      <w:pPr>
        <w:pStyle w:val="3"/>
        <w:numPr>
          <w:ilvl w:val="0"/>
          <w:numId w:val="0"/>
        </w:numPr>
        <w:tabs>
          <w:tab w:val="left" w:pos="540"/>
          <w:tab w:val="left" w:pos="2340"/>
        </w:tabs>
        <w:spacing w:before="120" w:after="156"/>
        <w:ind w:left="180"/>
        <w:jc w:val="left"/>
        <w:rPr>
          <w:rFonts w:hint="eastAsia" w:ascii="宋体" w:hAnsi="宋体" w:eastAsia="宋体" w:cs="宋体"/>
          <w:sz w:val="24"/>
        </w:rPr>
      </w:pPr>
      <w:bookmarkStart w:id="1401" w:name="_Toc67418749"/>
      <w:bookmarkStart w:id="1402" w:name="_Toc305331455"/>
      <w:bookmarkStart w:id="1403" w:name="_Toc23019"/>
      <w:bookmarkStart w:id="1404" w:name="_Toc302635969"/>
      <w:r>
        <w:rPr>
          <w:rFonts w:hint="eastAsia" w:ascii="宋体" w:hAnsi="宋体" w:eastAsia="宋体" w:cs="宋体"/>
          <w:sz w:val="24"/>
        </w:rPr>
        <w:t>7.1 专业工程承包人</w:t>
      </w:r>
      <w:bookmarkEnd w:id="1401"/>
      <w:bookmarkEnd w:id="1402"/>
      <w:bookmarkEnd w:id="1403"/>
      <w:bookmarkEnd w:id="1404"/>
      <w:r>
        <w:rPr>
          <w:rFonts w:hint="eastAsia" w:ascii="宋体" w:hAnsi="宋体" w:eastAsia="宋体" w:cs="宋体"/>
          <w:sz w:val="24"/>
        </w:rPr>
        <w:tab/>
      </w:r>
    </w:p>
    <w:p>
      <w:pPr>
        <w:rPr>
          <w:rFonts w:hint="eastAsia" w:ascii="宋体" w:hAnsi="宋体" w:eastAsia="宋体" w:cs="宋体"/>
          <w:bCs/>
          <w:sz w:val="24"/>
        </w:rPr>
      </w:pPr>
      <w:bookmarkStart w:id="1405" w:name="_Toc453616565"/>
      <w:bookmarkStart w:id="1406" w:name="_Toc448841233"/>
      <w:bookmarkStart w:id="1407" w:name="_Toc448494238"/>
      <w:r>
        <w:rPr>
          <w:rFonts w:hint="eastAsia" w:ascii="宋体" w:hAnsi="宋体" w:eastAsia="宋体" w:cs="宋体"/>
          <w:bCs/>
          <w:sz w:val="24"/>
        </w:rPr>
        <w:t>（1）</w:t>
      </w:r>
    </w:p>
    <w:tbl>
      <w:tblPr>
        <w:tblStyle w:val="38"/>
        <w:tblpPr w:leftFromText="180" w:rightFromText="180" w:vertAnchor="text" w:horzAnchor="margin" w:tblpXSpec="right" w:tblpY="249"/>
        <w:tblW w:w="76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2552"/>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815" w:type="dxa"/>
            <w:noWrap w:val="0"/>
            <w:vAlign w:val="center"/>
          </w:tcPr>
          <w:p>
            <w:pPr>
              <w:ind w:left="-57" w:right="-105"/>
              <w:jc w:val="center"/>
              <w:rPr>
                <w:rFonts w:hint="eastAsia" w:ascii="宋体" w:hAnsi="宋体" w:eastAsia="宋体" w:cs="宋体"/>
                <w:sz w:val="24"/>
              </w:rPr>
            </w:pPr>
            <w:r>
              <w:rPr>
                <w:rFonts w:hint="eastAsia" w:ascii="宋体" w:hAnsi="宋体" w:eastAsia="宋体" w:cs="宋体"/>
                <w:sz w:val="24"/>
              </w:rPr>
              <w:t>序号</w:t>
            </w:r>
          </w:p>
        </w:tc>
        <w:tc>
          <w:tcPr>
            <w:tcW w:w="2552" w:type="dxa"/>
            <w:noWrap w:val="0"/>
            <w:vAlign w:val="center"/>
          </w:tcPr>
          <w:p>
            <w:pPr>
              <w:ind w:left="-57" w:right="-105"/>
              <w:jc w:val="center"/>
              <w:rPr>
                <w:rFonts w:hint="eastAsia" w:ascii="宋体" w:hAnsi="宋体" w:eastAsia="宋体" w:cs="宋体"/>
                <w:sz w:val="24"/>
              </w:rPr>
            </w:pPr>
            <w:r>
              <w:rPr>
                <w:rFonts w:hint="eastAsia" w:ascii="宋体" w:hAnsi="宋体" w:eastAsia="宋体" w:cs="宋体"/>
                <w:sz w:val="24"/>
              </w:rPr>
              <w:t>专业工程名称</w:t>
            </w:r>
          </w:p>
        </w:tc>
        <w:tc>
          <w:tcPr>
            <w:tcW w:w="4252" w:type="dxa"/>
            <w:noWrap w:val="0"/>
            <w:vAlign w:val="center"/>
          </w:tcPr>
          <w:p>
            <w:pPr>
              <w:ind w:left="-57" w:right="-105"/>
              <w:jc w:val="center"/>
              <w:rPr>
                <w:rFonts w:hint="eastAsia" w:ascii="宋体" w:hAnsi="宋体" w:eastAsia="宋体" w:cs="宋体"/>
                <w:sz w:val="24"/>
              </w:rPr>
            </w:pPr>
            <w:r>
              <w:rPr>
                <w:rFonts w:hint="eastAsia" w:ascii="宋体" w:hAnsi="宋体" w:eastAsia="宋体" w:cs="宋体"/>
                <w:sz w:val="24"/>
              </w:rPr>
              <w:t>专业工程承包人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815" w:type="dxa"/>
            <w:noWrap w:val="0"/>
            <w:vAlign w:val="center"/>
          </w:tcPr>
          <w:p>
            <w:pPr>
              <w:spacing w:line="360" w:lineRule="auto"/>
              <w:ind w:left="-57" w:right="-105"/>
              <w:jc w:val="center"/>
              <w:rPr>
                <w:rFonts w:hint="eastAsia" w:ascii="宋体" w:hAnsi="宋体" w:eastAsia="宋体" w:cs="宋体"/>
                <w:sz w:val="24"/>
              </w:rPr>
            </w:pPr>
          </w:p>
        </w:tc>
        <w:tc>
          <w:tcPr>
            <w:tcW w:w="2552" w:type="dxa"/>
            <w:noWrap w:val="0"/>
            <w:vAlign w:val="bottom"/>
          </w:tcPr>
          <w:p>
            <w:pPr>
              <w:spacing w:line="360" w:lineRule="auto"/>
              <w:ind w:left="-57" w:right="-105"/>
              <w:jc w:val="center"/>
              <w:rPr>
                <w:rFonts w:hint="eastAsia" w:ascii="宋体" w:hAnsi="宋体" w:eastAsia="宋体" w:cs="宋体"/>
                <w:sz w:val="24"/>
              </w:rPr>
            </w:pPr>
          </w:p>
        </w:tc>
        <w:tc>
          <w:tcPr>
            <w:tcW w:w="4252" w:type="dxa"/>
            <w:noWrap w:val="0"/>
            <w:vAlign w:val="bottom"/>
          </w:tcPr>
          <w:p>
            <w:pPr>
              <w:spacing w:line="360" w:lineRule="auto"/>
              <w:ind w:left="-57" w:right="-105"/>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815" w:type="dxa"/>
            <w:noWrap w:val="0"/>
            <w:vAlign w:val="center"/>
          </w:tcPr>
          <w:p>
            <w:pPr>
              <w:spacing w:line="360" w:lineRule="auto"/>
              <w:ind w:left="-57" w:right="-105"/>
              <w:jc w:val="center"/>
              <w:rPr>
                <w:rFonts w:hint="eastAsia" w:ascii="宋体" w:hAnsi="宋体" w:eastAsia="宋体" w:cs="宋体"/>
                <w:sz w:val="24"/>
              </w:rPr>
            </w:pPr>
          </w:p>
        </w:tc>
        <w:tc>
          <w:tcPr>
            <w:tcW w:w="2552" w:type="dxa"/>
            <w:noWrap w:val="0"/>
            <w:vAlign w:val="bottom"/>
          </w:tcPr>
          <w:p>
            <w:pPr>
              <w:spacing w:line="360" w:lineRule="auto"/>
              <w:ind w:left="-57" w:right="-105"/>
              <w:jc w:val="center"/>
              <w:rPr>
                <w:rFonts w:hint="eastAsia" w:ascii="宋体" w:hAnsi="宋体" w:eastAsia="宋体" w:cs="宋体"/>
                <w:sz w:val="24"/>
              </w:rPr>
            </w:pPr>
          </w:p>
        </w:tc>
        <w:tc>
          <w:tcPr>
            <w:tcW w:w="4252" w:type="dxa"/>
            <w:noWrap w:val="0"/>
            <w:vAlign w:val="bottom"/>
          </w:tcPr>
          <w:p>
            <w:pPr>
              <w:spacing w:line="360" w:lineRule="auto"/>
              <w:ind w:left="-57" w:right="-105"/>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815" w:type="dxa"/>
            <w:noWrap w:val="0"/>
            <w:vAlign w:val="center"/>
          </w:tcPr>
          <w:p>
            <w:pPr>
              <w:spacing w:line="360" w:lineRule="auto"/>
              <w:ind w:left="-57" w:right="-105"/>
              <w:jc w:val="center"/>
              <w:rPr>
                <w:rFonts w:hint="eastAsia" w:ascii="宋体" w:hAnsi="宋体" w:eastAsia="宋体" w:cs="宋体"/>
                <w:sz w:val="24"/>
              </w:rPr>
            </w:pPr>
          </w:p>
        </w:tc>
        <w:tc>
          <w:tcPr>
            <w:tcW w:w="2552" w:type="dxa"/>
            <w:noWrap w:val="0"/>
            <w:vAlign w:val="bottom"/>
          </w:tcPr>
          <w:p>
            <w:pPr>
              <w:spacing w:line="360" w:lineRule="auto"/>
              <w:ind w:left="-57" w:right="-105"/>
              <w:rPr>
                <w:rFonts w:hint="eastAsia" w:ascii="宋体" w:hAnsi="宋体" w:eastAsia="宋体" w:cs="宋体"/>
                <w:sz w:val="24"/>
              </w:rPr>
            </w:pPr>
          </w:p>
        </w:tc>
        <w:tc>
          <w:tcPr>
            <w:tcW w:w="4252" w:type="dxa"/>
            <w:noWrap w:val="0"/>
            <w:vAlign w:val="bottom"/>
          </w:tcPr>
          <w:p>
            <w:pPr>
              <w:spacing w:line="360" w:lineRule="auto"/>
              <w:ind w:left="-57" w:right="-105"/>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815" w:type="dxa"/>
            <w:noWrap w:val="0"/>
            <w:vAlign w:val="center"/>
          </w:tcPr>
          <w:p>
            <w:pPr>
              <w:spacing w:line="360" w:lineRule="auto"/>
              <w:ind w:left="-57" w:right="-105"/>
              <w:jc w:val="center"/>
              <w:rPr>
                <w:rFonts w:hint="eastAsia" w:ascii="宋体" w:hAnsi="宋体" w:eastAsia="宋体" w:cs="宋体"/>
                <w:sz w:val="24"/>
              </w:rPr>
            </w:pPr>
          </w:p>
        </w:tc>
        <w:tc>
          <w:tcPr>
            <w:tcW w:w="2552" w:type="dxa"/>
            <w:noWrap w:val="0"/>
            <w:vAlign w:val="bottom"/>
          </w:tcPr>
          <w:p>
            <w:pPr>
              <w:spacing w:line="360" w:lineRule="auto"/>
              <w:ind w:left="-57" w:right="-105"/>
              <w:rPr>
                <w:rFonts w:hint="eastAsia" w:ascii="宋体" w:hAnsi="宋体" w:eastAsia="宋体" w:cs="宋体"/>
                <w:sz w:val="24"/>
              </w:rPr>
            </w:pPr>
          </w:p>
        </w:tc>
        <w:tc>
          <w:tcPr>
            <w:tcW w:w="4252" w:type="dxa"/>
            <w:noWrap w:val="0"/>
            <w:vAlign w:val="bottom"/>
          </w:tcPr>
          <w:p>
            <w:pPr>
              <w:spacing w:line="360" w:lineRule="auto"/>
              <w:ind w:left="-57" w:right="-105"/>
              <w:rPr>
                <w:rFonts w:hint="eastAsia" w:ascii="宋体" w:hAnsi="宋体" w:eastAsia="宋体" w:cs="宋体"/>
                <w:sz w:val="24"/>
              </w:rPr>
            </w:pPr>
          </w:p>
        </w:tc>
      </w:tr>
    </w:tbl>
    <w:p>
      <w:pPr>
        <w:rPr>
          <w:rFonts w:hint="eastAsia" w:ascii="宋体" w:hAnsi="宋体" w:eastAsia="宋体" w:cs="宋体"/>
          <w:b/>
          <w:bCs/>
          <w:sz w:val="24"/>
        </w:rPr>
      </w:pPr>
      <w:r>
        <w:rPr>
          <w:rFonts w:hint="eastAsia" w:ascii="宋体" w:hAnsi="宋体" w:eastAsia="宋体" w:cs="宋体"/>
          <w:b/>
          <w:bCs/>
          <w:sz w:val="24"/>
        </w:rPr>
        <w:t xml:space="preserve"> </w:t>
      </w:r>
    </w:p>
    <w:p>
      <w:pPr>
        <w:rPr>
          <w:rFonts w:hint="eastAsia" w:ascii="宋体" w:hAnsi="宋体" w:eastAsia="宋体" w:cs="宋体"/>
          <w:b/>
          <w:bCs/>
          <w:sz w:val="24"/>
        </w:rPr>
      </w:pPr>
    </w:p>
    <w:p>
      <w:pPr>
        <w:rPr>
          <w:rFonts w:hint="eastAsia" w:ascii="宋体" w:hAnsi="宋体" w:eastAsia="宋体" w:cs="宋体"/>
          <w:b/>
          <w:bCs/>
          <w:sz w:val="24"/>
        </w:rPr>
      </w:pPr>
    </w:p>
    <w:p>
      <w:pPr>
        <w:rPr>
          <w:rFonts w:hint="eastAsia" w:ascii="宋体" w:hAnsi="宋体" w:eastAsia="宋体" w:cs="宋体"/>
          <w:b/>
          <w:bCs/>
          <w:sz w:val="24"/>
        </w:rPr>
      </w:pPr>
    </w:p>
    <w:p>
      <w:pPr>
        <w:rPr>
          <w:rFonts w:hint="eastAsia" w:ascii="宋体" w:hAnsi="宋体" w:eastAsia="宋体" w:cs="宋体"/>
          <w:b/>
          <w:bCs/>
          <w:sz w:val="24"/>
        </w:rPr>
      </w:pPr>
    </w:p>
    <w:p>
      <w:pPr>
        <w:rPr>
          <w:rFonts w:hint="eastAsia" w:ascii="宋体" w:hAnsi="宋体" w:eastAsia="宋体" w:cs="宋体"/>
          <w:b/>
          <w:bCs/>
          <w:sz w:val="24"/>
        </w:rPr>
      </w:pPr>
    </w:p>
    <w:p>
      <w:pPr>
        <w:rPr>
          <w:rFonts w:hint="eastAsia" w:ascii="宋体" w:hAnsi="宋体" w:eastAsia="宋体" w:cs="宋体"/>
          <w:b/>
          <w:bCs/>
          <w:sz w:val="24"/>
        </w:rPr>
      </w:pPr>
    </w:p>
    <w:p>
      <w:pPr>
        <w:rPr>
          <w:rFonts w:hint="eastAsia" w:ascii="宋体" w:hAnsi="宋体" w:eastAsia="宋体" w:cs="宋体"/>
          <w:b/>
          <w:bCs/>
          <w:sz w:val="24"/>
        </w:rPr>
      </w:pPr>
    </w:p>
    <w:p>
      <w:pPr>
        <w:rPr>
          <w:rFonts w:hint="eastAsia" w:ascii="宋体" w:hAnsi="宋体" w:eastAsia="宋体" w:cs="宋体"/>
          <w:b/>
          <w:bCs/>
          <w:sz w:val="24"/>
        </w:rPr>
      </w:pPr>
    </w:p>
    <w:bookmarkEnd w:id="1405"/>
    <w:bookmarkEnd w:id="1406"/>
    <w:bookmarkEnd w:id="1407"/>
    <w:p>
      <w:pPr>
        <w:rPr>
          <w:rFonts w:hint="eastAsia" w:ascii="宋体" w:hAnsi="宋体" w:eastAsia="宋体" w:cs="宋体"/>
          <w:sz w:val="24"/>
        </w:rPr>
      </w:pPr>
    </w:p>
    <w:p>
      <w:pPr>
        <w:pStyle w:val="3"/>
        <w:numPr>
          <w:ilvl w:val="0"/>
          <w:numId w:val="0"/>
        </w:numPr>
        <w:tabs>
          <w:tab w:val="left" w:pos="540"/>
          <w:tab w:val="left" w:pos="2340"/>
        </w:tabs>
        <w:spacing w:before="120" w:after="156"/>
        <w:ind w:left="180"/>
        <w:jc w:val="left"/>
        <w:rPr>
          <w:rFonts w:hint="eastAsia" w:ascii="宋体" w:hAnsi="宋体" w:eastAsia="宋体" w:cs="宋体"/>
          <w:sz w:val="24"/>
        </w:rPr>
      </w:pPr>
      <w:bookmarkStart w:id="1408" w:name="_Toc67418750"/>
      <w:bookmarkStart w:id="1409" w:name="_Toc14594"/>
      <w:r>
        <w:rPr>
          <w:rFonts w:hint="eastAsia" w:ascii="宋体" w:hAnsi="宋体" w:eastAsia="宋体" w:cs="宋体"/>
          <w:sz w:val="24"/>
        </w:rPr>
        <w:t>7.2 总承包服务费</w:t>
      </w:r>
      <w:bookmarkEnd w:id="1408"/>
      <w:bookmarkEnd w:id="1409"/>
    </w:p>
    <w:bookmarkEnd w:id="1388"/>
    <w:p>
      <w:pPr>
        <w:spacing w:line="360" w:lineRule="auto"/>
        <w:ind w:firstLine="480"/>
        <w:rPr>
          <w:rFonts w:hint="eastAsia" w:ascii="宋体" w:hAnsi="宋体" w:eastAsia="宋体" w:cs="宋体"/>
          <w:sz w:val="24"/>
          <w:u w:val="single"/>
        </w:rPr>
      </w:pPr>
      <w:bookmarkStart w:id="1410" w:name="_Toc305331458"/>
      <w:bookmarkStart w:id="1411" w:name="_Toc35656531"/>
      <w:r>
        <w:rPr>
          <w:rFonts w:hint="eastAsia" w:ascii="宋体" w:hAnsi="宋体" w:eastAsia="宋体" w:cs="宋体"/>
          <w:sz w:val="24"/>
        </w:rPr>
        <w:t>(1)</w:t>
      </w:r>
      <w:r>
        <w:rPr>
          <w:rFonts w:hint="eastAsia" w:ascii="宋体" w:hAnsi="宋体" w:eastAsia="宋体" w:cs="宋体"/>
          <w:sz w:val="24"/>
          <w:u w:val="single"/>
        </w:rPr>
        <w:t xml:space="preserve">                                                                      </w:t>
      </w:r>
    </w:p>
    <w:p>
      <w:pPr>
        <w:spacing w:line="360" w:lineRule="auto"/>
        <w:ind w:firstLine="480" w:firstLineChars="200"/>
        <w:rPr>
          <w:rFonts w:hint="eastAsia" w:ascii="宋体" w:hAnsi="宋体" w:eastAsia="宋体" w:cs="宋体"/>
          <w:sz w:val="24"/>
          <w:u w:val="single"/>
        </w:rPr>
      </w:pPr>
      <w:r>
        <w:rPr>
          <w:rFonts w:hint="eastAsia" w:ascii="宋体" w:hAnsi="宋体" w:eastAsia="宋体" w:cs="宋体"/>
          <w:sz w:val="24"/>
          <w:u w:val="single"/>
        </w:rPr>
        <w:t xml:space="preserve">                                                                         </w:t>
      </w:r>
    </w:p>
    <w:p>
      <w:pPr>
        <w:spacing w:line="360" w:lineRule="auto"/>
        <w:ind w:firstLine="480"/>
        <w:rPr>
          <w:rFonts w:hint="eastAsia" w:ascii="宋体" w:hAnsi="宋体" w:eastAsia="宋体" w:cs="宋体"/>
          <w:sz w:val="24"/>
          <w:u w:val="single"/>
        </w:rPr>
      </w:pPr>
      <w:r>
        <w:rPr>
          <w:rFonts w:hint="eastAsia" w:ascii="宋体" w:hAnsi="宋体" w:eastAsia="宋体" w:cs="宋体"/>
          <w:sz w:val="24"/>
          <w:u w:val="single"/>
        </w:rPr>
        <w:t xml:space="preserve">                                                                        </w:t>
      </w:r>
    </w:p>
    <w:p>
      <w:pPr>
        <w:spacing w:line="360" w:lineRule="auto"/>
        <w:ind w:firstLine="480"/>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 xml:space="preserve"> </w:t>
      </w:r>
    </w:p>
    <w:p>
      <w:pPr>
        <w:pStyle w:val="3"/>
        <w:numPr>
          <w:ilvl w:val="0"/>
          <w:numId w:val="0"/>
        </w:numPr>
        <w:tabs>
          <w:tab w:val="left" w:pos="540"/>
          <w:tab w:val="left" w:pos="2340"/>
        </w:tabs>
        <w:spacing w:before="120" w:after="156"/>
        <w:ind w:left="180"/>
        <w:jc w:val="left"/>
        <w:rPr>
          <w:rFonts w:hint="eastAsia" w:ascii="宋体" w:hAnsi="宋体" w:eastAsia="宋体" w:cs="宋体"/>
          <w:sz w:val="24"/>
        </w:rPr>
      </w:pPr>
      <w:bookmarkStart w:id="1412" w:name="_Toc8772"/>
      <w:bookmarkStart w:id="1413" w:name="_Toc67418751"/>
      <w:bookmarkStart w:id="1414" w:name="_Toc302635972"/>
      <w:r>
        <w:rPr>
          <w:rFonts w:hint="eastAsia" w:ascii="宋体" w:hAnsi="宋体" w:eastAsia="宋体" w:cs="宋体"/>
          <w:sz w:val="24"/>
        </w:rPr>
        <w:t>7.3 工作界面协调</w:t>
      </w:r>
      <w:bookmarkEnd w:id="1410"/>
      <w:bookmarkEnd w:id="1412"/>
      <w:bookmarkEnd w:id="1413"/>
      <w:bookmarkEnd w:id="1414"/>
    </w:p>
    <w:p>
      <w:pPr>
        <w:spacing w:line="360" w:lineRule="auto"/>
        <w:ind w:firstLine="480"/>
        <w:rPr>
          <w:rFonts w:hint="eastAsia" w:ascii="宋体" w:hAnsi="宋体" w:eastAsia="宋体" w:cs="宋体"/>
          <w:sz w:val="24"/>
        </w:rPr>
      </w:pPr>
      <w:r>
        <w:rPr>
          <w:rFonts w:hint="eastAsia" w:ascii="宋体" w:hAnsi="宋体" w:eastAsia="宋体" w:cs="宋体"/>
          <w:sz w:val="24"/>
        </w:rPr>
        <w:t>(4)</w:t>
      </w:r>
      <w:r>
        <w:rPr>
          <w:rFonts w:hint="eastAsia" w:ascii="宋体" w:hAnsi="宋体" w:eastAsia="宋体" w:cs="宋体"/>
          <w:kern w:val="0"/>
          <w:sz w:val="24"/>
        </w:rPr>
        <w:t>由于承包人未能及时对工程接口问题进行协调或未及时实施监理人接口指令而造成损失的，承包人应</w:t>
      </w:r>
      <w:r>
        <w:rPr>
          <w:rFonts w:hint="eastAsia" w:ascii="宋体" w:hAnsi="宋体" w:eastAsia="宋体" w:cs="宋体"/>
          <w:sz w:val="24"/>
        </w:rPr>
        <w:t>向发包人支付上述损失的</w:t>
      </w:r>
      <w:r>
        <w:rPr>
          <w:rFonts w:hint="eastAsia" w:ascii="宋体" w:hAnsi="宋体" w:eastAsia="宋体" w:cs="宋体"/>
          <w:sz w:val="24"/>
          <w:u w:val="single"/>
        </w:rPr>
        <w:t xml:space="preserve">         </w:t>
      </w:r>
      <w:r>
        <w:rPr>
          <w:rFonts w:hint="eastAsia" w:ascii="宋体" w:hAnsi="宋体" w:eastAsia="宋体" w:cs="宋体"/>
          <w:sz w:val="24"/>
        </w:rPr>
        <w:t>的违约金。</w:t>
      </w:r>
    </w:p>
    <w:p>
      <w:pPr>
        <w:pStyle w:val="2"/>
        <w:keepNext w:val="0"/>
        <w:keepLines w:val="0"/>
        <w:numPr>
          <w:ilvl w:val="0"/>
          <w:numId w:val="0"/>
        </w:numPr>
        <w:tabs>
          <w:tab w:val="left" w:pos="1620"/>
          <w:tab w:val="left" w:pos="2340"/>
        </w:tabs>
        <w:spacing w:before="120" w:after="120"/>
        <w:rPr>
          <w:rFonts w:hint="eastAsia" w:ascii="宋体" w:hAnsi="宋体" w:eastAsia="宋体" w:cs="宋体"/>
        </w:rPr>
      </w:pPr>
      <w:bookmarkStart w:id="1415" w:name="_Toc305331459"/>
      <w:bookmarkStart w:id="1416" w:name="_Toc302635973"/>
      <w:bookmarkStart w:id="1417" w:name="_Toc67418752"/>
      <w:bookmarkStart w:id="1418" w:name="_Toc29401"/>
      <w:r>
        <w:rPr>
          <w:rFonts w:hint="eastAsia" w:ascii="宋体" w:hAnsi="宋体" w:eastAsia="宋体" w:cs="宋体"/>
        </w:rPr>
        <w:t>8 用工和劳务</w:t>
      </w:r>
      <w:bookmarkEnd w:id="1415"/>
      <w:bookmarkEnd w:id="1416"/>
      <w:bookmarkEnd w:id="1417"/>
      <w:bookmarkEnd w:id="1418"/>
    </w:p>
    <w:p>
      <w:pPr>
        <w:pStyle w:val="3"/>
        <w:numPr>
          <w:ilvl w:val="0"/>
          <w:numId w:val="0"/>
        </w:numPr>
        <w:tabs>
          <w:tab w:val="left" w:pos="540"/>
          <w:tab w:val="left" w:pos="2340"/>
        </w:tabs>
        <w:spacing w:before="120" w:after="156"/>
        <w:ind w:left="180"/>
        <w:jc w:val="left"/>
        <w:rPr>
          <w:rFonts w:hint="eastAsia" w:ascii="宋体" w:hAnsi="宋体" w:eastAsia="宋体" w:cs="宋体"/>
          <w:sz w:val="24"/>
        </w:rPr>
      </w:pPr>
      <w:bookmarkStart w:id="1419" w:name="_Toc15420"/>
      <w:bookmarkStart w:id="1420" w:name="_Toc67418753"/>
      <w:bookmarkStart w:id="1421" w:name="_Toc302635974"/>
      <w:bookmarkStart w:id="1422" w:name="_Toc305331460"/>
      <w:r>
        <w:rPr>
          <w:rFonts w:hint="eastAsia" w:ascii="宋体" w:hAnsi="宋体" w:eastAsia="宋体" w:cs="宋体"/>
          <w:sz w:val="24"/>
        </w:rPr>
        <w:t>8.1 劳动合同</w:t>
      </w:r>
      <w:bookmarkEnd w:id="1419"/>
      <w:bookmarkEnd w:id="1420"/>
      <w:bookmarkEnd w:id="1421"/>
    </w:p>
    <w:p>
      <w:pPr>
        <w:spacing w:line="360" w:lineRule="auto"/>
        <w:ind w:left="2" w:firstLine="480"/>
        <w:rPr>
          <w:rFonts w:hint="eastAsia" w:ascii="宋体" w:hAnsi="宋体" w:eastAsia="宋体" w:cs="宋体"/>
          <w:sz w:val="24"/>
          <w:u w:val="single"/>
        </w:rPr>
      </w:pPr>
      <w:r>
        <w:rPr>
          <w:rFonts w:hint="eastAsia" w:ascii="宋体" w:hAnsi="宋体" w:eastAsia="宋体" w:cs="宋体"/>
          <w:sz w:val="24"/>
        </w:rPr>
        <w:t>(3)若发包人或监理人发现有未签订劳动合同的工人在现场施工，承包人应向发包人支付违约金</w:t>
      </w:r>
      <w:r>
        <w:rPr>
          <w:rFonts w:hint="eastAsia" w:ascii="宋体" w:hAnsi="宋体" w:eastAsia="宋体" w:cs="宋体"/>
          <w:sz w:val="24"/>
          <w:u w:val="single"/>
        </w:rPr>
        <w:t xml:space="preserve">      </w:t>
      </w:r>
      <w:r>
        <w:rPr>
          <w:rFonts w:hint="eastAsia" w:ascii="宋体" w:hAnsi="宋体" w:eastAsia="宋体" w:cs="宋体"/>
          <w:sz w:val="24"/>
        </w:rPr>
        <w:t>元/人次。</w:t>
      </w:r>
    </w:p>
    <w:p>
      <w:pPr>
        <w:pStyle w:val="3"/>
        <w:numPr>
          <w:ilvl w:val="0"/>
          <w:numId w:val="0"/>
        </w:numPr>
        <w:tabs>
          <w:tab w:val="left" w:pos="540"/>
          <w:tab w:val="left" w:pos="2340"/>
        </w:tabs>
        <w:spacing w:before="120" w:after="156"/>
        <w:ind w:left="180"/>
        <w:jc w:val="left"/>
        <w:rPr>
          <w:rFonts w:hint="eastAsia" w:ascii="宋体" w:hAnsi="宋体" w:eastAsia="宋体" w:cs="宋体"/>
          <w:sz w:val="24"/>
        </w:rPr>
      </w:pPr>
      <w:bookmarkStart w:id="1423" w:name="_Toc20000"/>
      <w:bookmarkStart w:id="1424" w:name="_Toc302635975"/>
      <w:bookmarkStart w:id="1425" w:name="_Toc67418754"/>
      <w:r>
        <w:rPr>
          <w:rFonts w:hint="eastAsia" w:ascii="宋体" w:hAnsi="宋体" w:eastAsia="宋体" w:cs="宋体"/>
          <w:sz w:val="24"/>
        </w:rPr>
        <w:t>8.2 劳务分包</w:t>
      </w:r>
      <w:bookmarkEnd w:id="1422"/>
      <w:bookmarkEnd w:id="1423"/>
      <w:bookmarkEnd w:id="1424"/>
      <w:bookmarkEnd w:id="1425"/>
    </w:p>
    <w:p>
      <w:pPr>
        <w:spacing w:line="360" w:lineRule="auto"/>
        <w:ind w:firstLine="480"/>
        <w:rPr>
          <w:rFonts w:hint="eastAsia" w:ascii="宋体" w:hAnsi="宋体" w:eastAsia="宋体" w:cs="宋体"/>
          <w:sz w:val="24"/>
        </w:rPr>
      </w:pPr>
      <w:r>
        <w:rPr>
          <w:rFonts w:hint="eastAsia" w:ascii="宋体" w:hAnsi="宋体" w:eastAsia="宋体" w:cs="宋体"/>
          <w:sz w:val="24"/>
        </w:rPr>
        <w:t>(2)劳务分包企业对所有派遣工人购买意外伤害险和工伤保险的保险金额不得低于：</w:t>
      </w:r>
      <w:r>
        <w:rPr>
          <w:rFonts w:hint="eastAsia" w:ascii="宋体" w:hAnsi="宋体" w:eastAsia="宋体" w:cs="宋体"/>
          <w:sz w:val="24"/>
          <w:u w:val="single"/>
        </w:rPr>
        <w:t xml:space="preserve">                             </w:t>
      </w:r>
      <w:r>
        <w:rPr>
          <w:rFonts w:hint="eastAsia" w:ascii="宋体" w:hAnsi="宋体" w:eastAsia="宋体" w:cs="宋体"/>
          <w:sz w:val="24"/>
        </w:rPr>
        <w:t>。</w:t>
      </w:r>
    </w:p>
    <w:p>
      <w:pPr>
        <w:pStyle w:val="3"/>
        <w:numPr>
          <w:ilvl w:val="0"/>
          <w:numId w:val="0"/>
        </w:numPr>
        <w:tabs>
          <w:tab w:val="left" w:pos="540"/>
          <w:tab w:val="left" w:pos="2340"/>
        </w:tabs>
        <w:spacing w:before="120" w:after="156"/>
        <w:ind w:left="180"/>
        <w:jc w:val="left"/>
        <w:rPr>
          <w:rFonts w:hint="eastAsia" w:ascii="宋体" w:hAnsi="宋体" w:eastAsia="宋体" w:cs="宋体"/>
          <w:sz w:val="24"/>
        </w:rPr>
      </w:pPr>
      <w:bookmarkStart w:id="1426" w:name="_Toc67418755"/>
      <w:bookmarkStart w:id="1427" w:name="_Toc302635976"/>
      <w:bookmarkStart w:id="1428" w:name="_Toc12286"/>
      <w:bookmarkStart w:id="1429" w:name="_Toc305331461"/>
      <w:r>
        <w:rPr>
          <w:rFonts w:hint="eastAsia" w:ascii="宋体" w:hAnsi="宋体" w:eastAsia="宋体" w:cs="宋体"/>
          <w:sz w:val="24"/>
        </w:rPr>
        <w:t>8.3 劳务分包合同</w:t>
      </w:r>
      <w:bookmarkEnd w:id="1426"/>
      <w:bookmarkEnd w:id="1427"/>
      <w:bookmarkEnd w:id="1428"/>
      <w:bookmarkEnd w:id="1429"/>
    </w:p>
    <w:p>
      <w:pPr>
        <w:spacing w:line="360" w:lineRule="auto"/>
        <w:ind w:left="2" w:hanging="2"/>
        <w:rPr>
          <w:rFonts w:hint="eastAsia" w:ascii="宋体" w:hAnsi="宋体" w:eastAsia="宋体" w:cs="宋体"/>
          <w:sz w:val="24"/>
        </w:rPr>
      </w:pPr>
      <w:r>
        <w:rPr>
          <w:rFonts w:hint="eastAsia" w:ascii="宋体" w:hAnsi="宋体" w:eastAsia="宋体" w:cs="宋体"/>
          <w:sz w:val="24"/>
        </w:rPr>
        <w:t xml:space="preserve">    (3)若发包人或监理人发现工地上有未签订劳务分包合同的劳务企业人员在现场施工，承包人应向发包人支付违约金</w:t>
      </w:r>
      <w:r>
        <w:rPr>
          <w:rFonts w:hint="eastAsia" w:ascii="宋体" w:hAnsi="宋体" w:eastAsia="宋体" w:cs="宋体"/>
          <w:sz w:val="24"/>
          <w:u w:val="single"/>
        </w:rPr>
        <w:t xml:space="preserve">        </w:t>
      </w:r>
      <w:r>
        <w:rPr>
          <w:rFonts w:hint="eastAsia" w:ascii="宋体" w:hAnsi="宋体" w:eastAsia="宋体" w:cs="宋体"/>
          <w:sz w:val="24"/>
        </w:rPr>
        <w:t>元/人次。</w:t>
      </w:r>
    </w:p>
    <w:p>
      <w:pPr>
        <w:pStyle w:val="2"/>
        <w:keepNext w:val="0"/>
        <w:keepLines w:val="0"/>
        <w:numPr>
          <w:ilvl w:val="0"/>
          <w:numId w:val="0"/>
        </w:numPr>
        <w:tabs>
          <w:tab w:val="left" w:pos="1620"/>
          <w:tab w:val="left" w:pos="2340"/>
        </w:tabs>
        <w:spacing w:before="120" w:after="120"/>
        <w:rPr>
          <w:rFonts w:hint="eastAsia" w:ascii="宋体" w:hAnsi="宋体" w:eastAsia="宋体" w:cs="宋体"/>
        </w:rPr>
      </w:pPr>
      <w:bookmarkStart w:id="1430" w:name="_Toc305331462"/>
      <w:bookmarkStart w:id="1431" w:name="_Toc67418756"/>
      <w:bookmarkStart w:id="1432" w:name="_Toc17607"/>
      <w:bookmarkStart w:id="1433" w:name="_Toc302635977"/>
      <w:r>
        <w:rPr>
          <w:rFonts w:hint="eastAsia" w:ascii="宋体" w:hAnsi="宋体" w:eastAsia="宋体" w:cs="宋体"/>
        </w:rPr>
        <w:t>9 施工组织设计和进度计划</w:t>
      </w:r>
      <w:bookmarkEnd w:id="1411"/>
      <w:bookmarkEnd w:id="1430"/>
      <w:bookmarkEnd w:id="1431"/>
      <w:bookmarkEnd w:id="1432"/>
      <w:bookmarkEnd w:id="1433"/>
    </w:p>
    <w:p>
      <w:pPr>
        <w:pStyle w:val="3"/>
        <w:numPr>
          <w:ilvl w:val="0"/>
          <w:numId w:val="0"/>
        </w:numPr>
        <w:tabs>
          <w:tab w:val="left" w:pos="540"/>
          <w:tab w:val="left" w:pos="900"/>
          <w:tab w:val="left" w:pos="2340"/>
        </w:tabs>
        <w:spacing w:before="120" w:after="156"/>
        <w:ind w:left="359"/>
        <w:jc w:val="left"/>
        <w:rPr>
          <w:rFonts w:hint="eastAsia" w:ascii="宋体" w:hAnsi="宋体" w:eastAsia="宋体" w:cs="宋体"/>
          <w:sz w:val="24"/>
        </w:rPr>
      </w:pPr>
      <w:bookmarkStart w:id="1434" w:name="_Toc67418757"/>
      <w:bookmarkStart w:id="1435" w:name="_Toc305331463"/>
      <w:bookmarkStart w:id="1436" w:name="_Toc11862"/>
      <w:bookmarkStart w:id="1437" w:name="_Toc302635978"/>
      <w:r>
        <w:rPr>
          <w:rFonts w:hint="eastAsia" w:ascii="宋体" w:hAnsi="宋体" w:eastAsia="宋体" w:cs="宋体"/>
          <w:sz w:val="24"/>
        </w:rPr>
        <w:t>9.1 施工组织设计和进度计划的编制与提交</w:t>
      </w:r>
      <w:bookmarkEnd w:id="1434"/>
      <w:bookmarkEnd w:id="1435"/>
      <w:bookmarkEnd w:id="1436"/>
      <w:bookmarkEnd w:id="1437"/>
    </w:p>
    <w:p>
      <w:pPr>
        <w:spacing w:line="360" w:lineRule="auto"/>
        <w:ind w:left="-57" w:right="-105" w:firstLine="480"/>
        <w:rPr>
          <w:rFonts w:hint="eastAsia" w:ascii="宋体" w:hAnsi="宋体" w:eastAsia="宋体" w:cs="宋体"/>
          <w:sz w:val="24"/>
        </w:rPr>
      </w:pPr>
      <w:r>
        <w:rPr>
          <w:rFonts w:hint="eastAsia" w:ascii="宋体" w:hAnsi="宋体" w:eastAsia="宋体" w:cs="宋体"/>
          <w:sz w:val="24"/>
        </w:rPr>
        <w:t>(1)承包人应提供单项施工组织设计和工程进度计划的单项工程名称：</w:t>
      </w:r>
      <w:r>
        <w:rPr>
          <w:rFonts w:hint="eastAsia" w:ascii="宋体" w:hAnsi="宋体" w:eastAsia="宋体" w:cs="宋体"/>
          <w:sz w:val="24"/>
          <w:u w:val="single"/>
        </w:rPr>
        <w:t xml:space="preserve">           </w:t>
      </w:r>
    </w:p>
    <w:p>
      <w:pPr>
        <w:spacing w:line="360" w:lineRule="auto"/>
        <w:ind w:left="2" w:hanging="2"/>
        <w:rPr>
          <w:rFonts w:hint="eastAsia" w:ascii="宋体" w:hAnsi="宋体" w:eastAsia="宋体" w:cs="宋体"/>
          <w:sz w:val="24"/>
          <w:u w:val="single"/>
        </w:rPr>
      </w:pPr>
      <w:r>
        <w:rPr>
          <w:rFonts w:hint="eastAsia" w:ascii="宋体" w:hAnsi="宋体" w:eastAsia="宋体" w:cs="宋体"/>
          <w:sz w:val="24"/>
          <w:u w:val="single"/>
        </w:rPr>
        <w:t xml:space="preserve">                                                                            </w:t>
      </w:r>
    </w:p>
    <w:p>
      <w:pPr>
        <w:spacing w:line="360" w:lineRule="auto"/>
        <w:ind w:left="2" w:hanging="2"/>
        <w:rPr>
          <w:rFonts w:hint="eastAsia" w:ascii="宋体" w:hAnsi="宋体" w:eastAsia="宋体" w:cs="宋体"/>
          <w:sz w:val="24"/>
          <w:u w:val="single"/>
        </w:rPr>
      </w:pPr>
      <w:r>
        <w:rPr>
          <w:rFonts w:hint="eastAsia" w:ascii="宋体" w:hAnsi="宋体" w:eastAsia="宋体" w:cs="宋体"/>
          <w:sz w:val="24"/>
          <w:u w:val="single"/>
        </w:rPr>
        <w:t xml:space="preserve">                                                                            </w:t>
      </w:r>
    </w:p>
    <w:p>
      <w:pPr>
        <w:spacing w:line="360" w:lineRule="auto"/>
        <w:ind w:firstLine="360"/>
        <w:rPr>
          <w:rFonts w:hint="eastAsia" w:ascii="宋体" w:hAnsi="宋体" w:eastAsia="宋体" w:cs="宋体"/>
          <w:bCs/>
          <w:sz w:val="24"/>
          <w:u w:val="single"/>
        </w:rPr>
      </w:pPr>
      <w:r>
        <w:rPr>
          <w:rFonts w:hint="eastAsia" w:ascii="宋体" w:hAnsi="宋体" w:eastAsia="宋体" w:cs="宋体"/>
          <w:sz w:val="24"/>
        </w:rPr>
        <w:t xml:space="preserve"> (2)承包人提供施工组织设计和工程进度计划的时间和要求：</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spacing w:line="360" w:lineRule="auto"/>
        <w:ind w:left="2" w:hanging="2"/>
        <w:rPr>
          <w:rFonts w:hint="eastAsia" w:ascii="宋体" w:hAnsi="宋体" w:eastAsia="宋体" w:cs="宋体"/>
          <w:sz w:val="24"/>
          <w:u w:val="single"/>
        </w:rPr>
      </w:pPr>
      <w:r>
        <w:rPr>
          <w:rFonts w:hint="eastAsia" w:ascii="宋体" w:hAnsi="宋体" w:eastAsia="宋体" w:cs="宋体"/>
          <w:sz w:val="24"/>
          <w:u w:val="single"/>
        </w:rPr>
        <w:t xml:space="preserve">                                                                            </w:t>
      </w:r>
    </w:p>
    <w:p>
      <w:pPr>
        <w:spacing w:line="360" w:lineRule="auto"/>
        <w:ind w:left="2" w:hanging="2"/>
        <w:rPr>
          <w:rFonts w:hint="eastAsia" w:ascii="宋体" w:hAnsi="宋体" w:eastAsia="宋体" w:cs="宋体"/>
          <w:sz w:val="24"/>
          <w:u w:val="single"/>
        </w:rPr>
      </w:pPr>
      <w:r>
        <w:rPr>
          <w:rFonts w:hint="eastAsia" w:ascii="宋体" w:hAnsi="宋体" w:eastAsia="宋体" w:cs="宋体"/>
          <w:sz w:val="24"/>
          <w:u w:val="single"/>
        </w:rPr>
        <w:t xml:space="preserve">                                                                            </w:t>
      </w:r>
    </w:p>
    <w:p>
      <w:pPr>
        <w:spacing w:line="360" w:lineRule="auto"/>
        <w:ind w:firstLine="480"/>
        <w:rPr>
          <w:rFonts w:hint="eastAsia" w:ascii="宋体" w:hAnsi="宋体" w:eastAsia="宋体" w:cs="宋体"/>
          <w:sz w:val="24"/>
          <w:u w:val="single"/>
        </w:rPr>
      </w:pPr>
      <w:r>
        <w:rPr>
          <w:rFonts w:hint="eastAsia" w:ascii="宋体" w:hAnsi="宋体" w:eastAsia="宋体" w:cs="宋体"/>
          <w:sz w:val="24"/>
        </w:rPr>
        <w:t>监理人确认的时间：</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spacing w:line="360" w:lineRule="auto"/>
        <w:ind w:firstLine="480"/>
        <w:rPr>
          <w:rFonts w:hint="eastAsia" w:ascii="宋体" w:hAnsi="宋体" w:eastAsia="宋体" w:cs="宋体"/>
          <w:bCs/>
          <w:sz w:val="24"/>
          <w:u w:val="single"/>
        </w:rPr>
      </w:pPr>
      <w:r>
        <w:rPr>
          <w:rFonts w:hint="eastAsia" w:ascii="宋体" w:hAnsi="宋体" w:eastAsia="宋体" w:cs="宋体"/>
          <w:sz w:val="24"/>
        </w:rPr>
        <w:t>承包人根据监理人的合理意见提交修改后的施工组织设计和工程进度计划的时间和要求：</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pStyle w:val="3"/>
        <w:numPr>
          <w:ilvl w:val="0"/>
          <w:numId w:val="0"/>
        </w:numPr>
        <w:tabs>
          <w:tab w:val="left" w:pos="540"/>
          <w:tab w:val="left" w:pos="900"/>
          <w:tab w:val="left" w:pos="2340"/>
        </w:tabs>
        <w:spacing w:before="120" w:after="156"/>
        <w:ind w:left="359"/>
        <w:jc w:val="left"/>
        <w:rPr>
          <w:rFonts w:hint="eastAsia" w:ascii="宋体" w:hAnsi="宋体" w:eastAsia="宋体" w:cs="宋体"/>
          <w:sz w:val="24"/>
        </w:rPr>
      </w:pPr>
      <w:bookmarkStart w:id="1438" w:name="_Toc302635979"/>
      <w:bookmarkStart w:id="1439" w:name="_Toc67418758"/>
      <w:bookmarkStart w:id="1440" w:name="_Toc1811"/>
      <w:bookmarkStart w:id="1441" w:name="_Toc305331464"/>
      <w:r>
        <w:rPr>
          <w:rFonts w:hint="eastAsia" w:ascii="宋体" w:hAnsi="宋体" w:eastAsia="宋体" w:cs="宋体"/>
          <w:sz w:val="24"/>
        </w:rPr>
        <w:t>9.4 工程用款计划</w:t>
      </w:r>
      <w:bookmarkEnd w:id="1438"/>
      <w:bookmarkEnd w:id="1439"/>
      <w:bookmarkEnd w:id="1440"/>
      <w:bookmarkEnd w:id="1441"/>
    </w:p>
    <w:p>
      <w:pPr>
        <w:spacing w:line="360" w:lineRule="auto"/>
        <w:ind w:firstLine="440"/>
        <w:rPr>
          <w:rFonts w:hint="eastAsia" w:ascii="宋体" w:hAnsi="宋体" w:eastAsia="宋体" w:cs="宋体"/>
          <w:sz w:val="24"/>
          <w:u w:val="single"/>
        </w:rPr>
      </w:pPr>
      <w:r>
        <w:rPr>
          <w:rFonts w:hint="eastAsia" w:ascii="宋体" w:hAnsi="宋体" w:eastAsia="宋体" w:cs="宋体"/>
          <w:bCs/>
          <w:spacing w:val="-10"/>
          <w:sz w:val="24"/>
        </w:rPr>
        <w:t>承包人提交工程用款计划的要求：</w:t>
      </w:r>
      <w:r>
        <w:rPr>
          <w:rFonts w:hint="eastAsia" w:ascii="宋体" w:hAnsi="宋体" w:eastAsia="宋体" w:cs="宋体"/>
          <w:bCs/>
          <w:spacing w:val="-10"/>
          <w:sz w:val="24"/>
          <w:u w:val="single"/>
        </w:rPr>
        <w:t xml:space="preserve">                                                </w:t>
      </w:r>
      <w:r>
        <w:rPr>
          <w:rFonts w:hint="eastAsia" w:ascii="宋体" w:hAnsi="宋体" w:eastAsia="宋体" w:cs="宋体"/>
          <w:sz w:val="24"/>
          <w:u w:val="single"/>
        </w:rPr>
        <w:t xml:space="preserve">     </w:t>
      </w:r>
    </w:p>
    <w:p>
      <w:pPr>
        <w:spacing w:line="360" w:lineRule="auto"/>
        <w:rPr>
          <w:rFonts w:hint="eastAsia" w:ascii="宋体" w:hAnsi="宋体" w:eastAsia="宋体" w:cs="宋体"/>
          <w:bCs/>
          <w:sz w:val="24"/>
          <w:u w:val="single"/>
        </w:rPr>
      </w:pPr>
      <w:bookmarkStart w:id="1442" w:name="_Toc35656532"/>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pStyle w:val="2"/>
        <w:keepNext w:val="0"/>
        <w:keepLines w:val="0"/>
        <w:numPr>
          <w:ilvl w:val="0"/>
          <w:numId w:val="0"/>
        </w:numPr>
        <w:tabs>
          <w:tab w:val="left" w:pos="1620"/>
          <w:tab w:val="left" w:pos="2340"/>
        </w:tabs>
        <w:spacing w:before="120" w:after="120"/>
        <w:rPr>
          <w:rFonts w:hint="eastAsia" w:ascii="宋体" w:hAnsi="宋体" w:eastAsia="宋体" w:cs="宋体"/>
        </w:rPr>
      </w:pPr>
      <w:bookmarkStart w:id="1443" w:name="_Toc67418759"/>
      <w:bookmarkStart w:id="1444" w:name="_Toc17041"/>
      <w:bookmarkStart w:id="1445" w:name="_Toc302635980"/>
      <w:bookmarkStart w:id="1446" w:name="_Toc305331465"/>
      <w:r>
        <w:rPr>
          <w:rFonts w:hint="eastAsia" w:ascii="宋体" w:hAnsi="宋体" w:eastAsia="宋体" w:cs="宋体"/>
        </w:rPr>
        <w:t>10 施工准备</w:t>
      </w:r>
      <w:bookmarkEnd w:id="1442"/>
      <w:bookmarkEnd w:id="1443"/>
      <w:bookmarkEnd w:id="1444"/>
      <w:bookmarkEnd w:id="1445"/>
      <w:bookmarkEnd w:id="1446"/>
    </w:p>
    <w:p>
      <w:pPr>
        <w:pStyle w:val="3"/>
        <w:numPr>
          <w:ilvl w:val="0"/>
          <w:numId w:val="0"/>
        </w:numPr>
        <w:tabs>
          <w:tab w:val="left" w:pos="540"/>
          <w:tab w:val="left" w:pos="900"/>
          <w:tab w:val="left" w:pos="2340"/>
        </w:tabs>
        <w:spacing w:before="120" w:after="156"/>
        <w:ind w:left="359"/>
        <w:jc w:val="left"/>
        <w:rPr>
          <w:rFonts w:hint="eastAsia" w:ascii="宋体" w:hAnsi="宋体" w:eastAsia="宋体" w:cs="宋体"/>
          <w:sz w:val="24"/>
        </w:rPr>
      </w:pPr>
      <w:bookmarkStart w:id="1447" w:name="_Toc305331466"/>
      <w:bookmarkStart w:id="1448" w:name="_Toc67418760"/>
      <w:bookmarkStart w:id="1449" w:name="_Toc27943"/>
      <w:bookmarkStart w:id="1450" w:name="_Toc302635981"/>
      <w:r>
        <w:rPr>
          <w:rFonts w:hint="eastAsia" w:ascii="宋体" w:hAnsi="宋体" w:eastAsia="宋体" w:cs="宋体"/>
          <w:sz w:val="24"/>
        </w:rPr>
        <w:t>10.2 施工场地提供</w:t>
      </w:r>
      <w:bookmarkEnd w:id="1447"/>
      <w:bookmarkEnd w:id="1448"/>
      <w:bookmarkEnd w:id="1449"/>
      <w:bookmarkEnd w:id="1450"/>
    </w:p>
    <w:p>
      <w:pPr>
        <w:spacing w:line="360" w:lineRule="auto"/>
        <w:ind w:firstLine="480"/>
        <w:rPr>
          <w:rFonts w:hint="eastAsia" w:ascii="宋体" w:hAnsi="宋体" w:eastAsia="宋体" w:cs="宋体"/>
          <w:b/>
          <w:sz w:val="24"/>
          <w:u w:val="single"/>
        </w:rPr>
      </w:pPr>
      <w:r>
        <w:rPr>
          <w:rFonts w:hint="eastAsia" w:ascii="宋体" w:hAnsi="宋体" w:eastAsia="宋体" w:cs="宋体"/>
          <w:sz w:val="24"/>
        </w:rPr>
        <w:t>(1)发包人提供给承包人的工地范围、时间及次序约定：</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spacing w:line="360" w:lineRule="auto"/>
        <w:ind w:firstLine="480"/>
        <w:rPr>
          <w:rFonts w:hint="eastAsia" w:ascii="宋体" w:hAnsi="宋体" w:eastAsia="宋体" w:cs="宋体"/>
          <w:sz w:val="24"/>
        </w:rPr>
      </w:pPr>
      <w:r>
        <w:rPr>
          <w:rFonts w:hint="eastAsia" w:ascii="宋体" w:hAnsi="宋体" w:eastAsia="宋体" w:cs="宋体"/>
          <w:sz w:val="24"/>
        </w:rPr>
        <w:t xml:space="preserve"> (3)红线外临时占地租用费用承担约定：</w:t>
      </w:r>
      <w:r>
        <w:rPr>
          <w:rFonts w:hint="eastAsia" w:ascii="宋体" w:hAnsi="宋体" w:eastAsia="宋体" w:cs="宋体"/>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pStyle w:val="3"/>
        <w:numPr>
          <w:ilvl w:val="0"/>
          <w:numId w:val="0"/>
        </w:numPr>
        <w:tabs>
          <w:tab w:val="left" w:pos="540"/>
          <w:tab w:val="left" w:pos="900"/>
          <w:tab w:val="left" w:pos="2340"/>
        </w:tabs>
        <w:spacing w:before="120" w:after="156"/>
        <w:ind w:left="359"/>
        <w:jc w:val="left"/>
        <w:rPr>
          <w:rFonts w:hint="eastAsia" w:ascii="宋体" w:hAnsi="宋体" w:eastAsia="宋体" w:cs="宋体"/>
          <w:sz w:val="24"/>
        </w:rPr>
      </w:pPr>
      <w:bookmarkStart w:id="1451" w:name="_Toc305331467"/>
      <w:bookmarkStart w:id="1452" w:name="_Toc2984"/>
      <w:bookmarkStart w:id="1453" w:name="_Toc302635982"/>
      <w:bookmarkStart w:id="1454" w:name="_Toc67418761"/>
      <w:r>
        <w:rPr>
          <w:rFonts w:hint="eastAsia" w:ascii="宋体" w:hAnsi="宋体" w:eastAsia="宋体" w:cs="宋体"/>
          <w:sz w:val="24"/>
        </w:rPr>
        <w:t>10.6 不利的外界障碍或条件</w:t>
      </w:r>
      <w:bookmarkEnd w:id="1451"/>
      <w:bookmarkEnd w:id="1452"/>
      <w:bookmarkEnd w:id="1453"/>
      <w:bookmarkEnd w:id="1454"/>
    </w:p>
    <w:p>
      <w:pPr>
        <w:spacing w:line="360" w:lineRule="auto"/>
        <w:ind w:firstLine="480"/>
        <w:rPr>
          <w:rFonts w:hint="eastAsia" w:ascii="宋体" w:hAnsi="宋体" w:eastAsia="宋体" w:cs="宋体"/>
          <w:sz w:val="24"/>
          <w:u w:val="single"/>
        </w:rPr>
      </w:pPr>
      <w:r>
        <w:rPr>
          <w:rFonts w:hint="eastAsia" w:ascii="宋体" w:hAnsi="宋体" w:eastAsia="宋体" w:cs="宋体"/>
          <w:sz w:val="24"/>
        </w:rPr>
        <w:t>(3)本合同可能产生的不利的外界障碍或条件为：</w:t>
      </w:r>
    </w:p>
    <w:p>
      <w:pPr>
        <w:spacing w:line="360" w:lineRule="auto"/>
        <w:ind w:firstLine="600"/>
        <w:rPr>
          <w:rFonts w:hint="eastAsia" w:ascii="宋体" w:hAnsi="宋体" w:eastAsia="宋体" w:cs="宋体"/>
          <w:sz w:val="24"/>
        </w:rPr>
      </w:pPr>
      <w:r>
        <w:rPr>
          <w:rFonts w:hint="eastAsia" w:ascii="宋体" w:hAnsi="宋体" w:eastAsia="宋体" w:cs="宋体"/>
          <w:sz w:val="24"/>
        </w:rPr>
        <w:drawing>
          <wp:inline distT="0" distB="0" distL="114300" distR="114300">
            <wp:extent cx="152400" cy="142875"/>
            <wp:effectExtent l="0" t="0" r="0" b="9525"/>
            <wp:docPr id="16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图片 97"/>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sz w:val="24"/>
        </w:rPr>
        <w:t>施工现场地形、地质的改变；</w:t>
      </w:r>
    </w:p>
    <w:p>
      <w:pPr>
        <w:spacing w:line="360" w:lineRule="auto"/>
        <w:ind w:firstLine="600"/>
        <w:rPr>
          <w:rFonts w:hint="eastAsia" w:ascii="宋体" w:hAnsi="宋体" w:eastAsia="宋体" w:cs="宋体"/>
          <w:sz w:val="24"/>
        </w:rPr>
      </w:pPr>
      <w:r>
        <w:rPr>
          <w:rFonts w:hint="eastAsia" w:ascii="宋体" w:hAnsi="宋体" w:eastAsia="宋体" w:cs="宋体"/>
          <w:sz w:val="24"/>
        </w:rPr>
        <w:drawing>
          <wp:inline distT="0" distB="0" distL="114300" distR="114300">
            <wp:extent cx="152400" cy="142875"/>
            <wp:effectExtent l="0" t="0" r="0" b="9525"/>
            <wp:docPr id="16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图片 98"/>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sz w:val="24"/>
        </w:rPr>
        <w:t>政府政策性停工；</w:t>
      </w:r>
    </w:p>
    <w:p>
      <w:pPr>
        <w:spacing w:line="360" w:lineRule="auto"/>
        <w:ind w:firstLine="600"/>
        <w:rPr>
          <w:rFonts w:hint="eastAsia" w:ascii="宋体" w:hAnsi="宋体" w:eastAsia="宋体" w:cs="宋体"/>
          <w:sz w:val="24"/>
          <w:u w:val="single"/>
        </w:rPr>
      </w:pPr>
      <w:r>
        <w:rPr>
          <w:rFonts w:hint="eastAsia" w:ascii="宋体" w:hAnsi="宋体" w:eastAsia="宋体" w:cs="宋体"/>
          <w:sz w:val="24"/>
        </w:rPr>
        <w:drawing>
          <wp:inline distT="0" distB="0" distL="114300" distR="114300">
            <wp:extent cx="152400" cy="142875"/>
            <wp:effectExtent l="0" t="0" r="0" b="9525"/>
            <wp:docPr id="171"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图片 99"/>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sz w:val="24"/>
        </w:rPr>
        <w:t>其他：</w:t>
      </w:r>
      <w:r>
        <w:rPr>
          <w:rFonts w:hint="eastAsia" w:ascii="宋体" w:hAnsi="宋体" w:eastAsia="宋体" w:cs="宋体"/>
          <w:sz w:val="24"/>
          <w:u w:val="single"/>
        </w:rPr>
        <w:t xml:space="preserve">                                                               </w:t>
      </w:r>
    </w:p>
    <w:p>
      <w:pPr>
        <w:pStyle w:val="2"/>
        <w:keepNext w:val="0"/>
        <w:keepLines w:val="0"/>
        <w:numPr>
          <w:ilvl w:val="0"/>
          <w:numId w:val="0"/>
        </w:numPr>
        <w:tabs>
          <w:tab w:val="left" w:pos="540"/>
          <w:tab w:val="left" w:pos="1620"/>
          <w:tab w:val="left" w:pos="2340"/>
        </w:tabs>
        <w:spacing w:before="120" w:after="120"/>
        <w:ind w:left="178"/>
        <w:rPr>
          <w:rFonts w:hint="eastAsia" w:ascii="宋体" w:hAnsi="宋体" w:eastAsia="宋体" w:cs="宋体"/>
        </w:rPr>
      </w:pPr>
      <w:bookmarkStart w:id="1455" w:name="_Toc67418762"/>
      <w:bookmarkStart w:id="1456" w:name="_Toc29962"/>
      <w:bookmarkStart w:id="1457" w:name="_Toc302635983"/>
      <w:bookmarkStart w:id="1458" w:name="_Toc305331468"/>
      <w:r>
        <w:rPr>
          <w:rFonts w:hint="eastAsia" w:ascii="宋体" w:hAnsi="宋体" w:eastAsia="宋体" w:cs="宋体"/>
        </w:rPr>
        <w:t>12 暂停施工和恢复施工</w:t>
      </w:r>
      <w:bookmarkEnd w:id="1455"/>
      <w:bookmarkEnd w:id="1456"/>
    </w:p>
    <w:p>
      <w:pPr>
        <w:pStyle w:val="3"/>
        <w:numPr>
          <w:ilvl w:val="0"/>
          <w:numId w:val="0"/>
        </w:numPr>
        <w:tabs>
          <w:tab w:val="left" w:pos="540"/>
          <w:tab w:val="left" w:pos="900"/>
          <w:tab w:val="left" w:pos="2340"/>
        </w:tabs>
        <w:spacing w:before="120" w:after="156"/>
        <w:ind w:left="359"/>
        <w:jc w:val="left"/>
        <w:rPr>
          <w:rFonts w:hint="eastAsia" w:ascii="宋体" w:hAnsi="宋体" w:eastAsia="宋体" w:cs="宋体"/>
          <w:sz w:val="24"/>
        </w:rPr>
      </w:pPr>
      <w:bookmarkStart w:id="1459" w:name="_Toc67418763"/>
      <w:bookmarkStart w:id="1460" w:name="_Toc19241"/>
      <w:r>
        <w:rPr>
          <w:rFonts w:hint="eastAsia" w:ascii="宋体" w:hAnsi="宋体" w:eastAsia="宋体" w:cs="宋体"/>
          <w:sz w:val="24"/>
        </w:rPr>
        <w:t>12.2 承包人原因引起的暂停施工</w:t>
      </w:r>
      <w:bookmarkEnd w:id="1459"/>
      <w:bookmarkEnd w:id="1460"/>
    </w:p>
    <w:p>
      <w:pPr>
        <w:spacing w:line="360" w:lineRule="auto"/>
        <w:ind w:firstLine="480"/>
        <w:rPr>
          <w:rFonts w:hint="eastAsia" w:ascii="宋体" w:hAnsi="宋体" w:eastAsia="宋体" w:cs="宋体"/>
          <w:sz w:val="24"/>
          <w:u w:val="single"/>
        </w:rPr>
      </w:pPr>
      <w:r>
        <w:rPr>
          <w:rFonts w:hint="eastAsia" w:ascii="宋体" w:hAnsi="宋体" w:eastAsia="宋体" w:cs="宋体"/>
          <w:sz w:val="24"/>
        </w:rPr>
        <w:t>因承包人原因引起的暂停施工，承包人在收到监理人复工指示后复工的期限为：</w:t>
      </w:r>
      <w:r>
        <w:rPr>
          <w:rFonts w:hint="eastAsia" w:ascii="宋体" w:hAnsi="宋体" w:eastAsia="宋体" w:cs="宋体"/>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pStyle w:val="2"/>
        <w:keepNext w:val="0"/>
        <w:keepLines w:val="0"/>
        <w:numPr>
          <w:ilvl w:val="0"/>
          <w:numId w:val="0"/>
        </w:numPr>
        <w:tabs>
          <w:tab w:val="left" w:pos="540"/>
          <w:tab w:val="left" w:pos="1620"/>
          <w:tab w:val="left" w:pos="2340"/>
        </w:tabs>
        <w:spacing w:before="120" w:after="120"/>
        <w:ind w:left="178"/>
        <w:rPr>
          <w:rFonts w:hint="eastAsia" w:ascii="宋体" w:hAnsi="宋体" w:eastAsia="宋体" w:cs="宋体"/>
        </w:rPr>
      </w:pPr>
      <w:bookmarkStart w:id="1461" w:name="_Toc67418764"/>
      <w:bookmarkStart w:id="1462" w:name="_Toc12073"/>
      <w:r>
        <w:rPr>
          <w:rFonts w:hint="eastAsia" w:ascii="宋体" w:hAnsi="宋体" w:eastAsia="宋体" w:cs="宋体"/>
        </w:rPr>
        <w:t>13 工期及延误</w:t>
      </w:r>
      <w:bookmarkEnd w:id="1457"/>
      <w:bookmarkEnd w:id="1458"/>
      <w:bookmarkEnd w:id="1461"/>
      <w:bookmarkEnd w:id="1462"/>
    </w:p>
    <w:p>
      <w:pPr>
        <w:pStyle w:val="3"/>
        <w:numPr>
          <w:ilvl w:val="0"/>
          <w:numId w:val="0"/>
        </w:numPr>
        <w:tabs>
          <w:tab w:val="left" w:pos="540"/>
          <w:tab w:val="left" w:pos="900"/>
          <w:tab w:val="left" w:pos="2340"/>
        </w:tabs>
        <w:spacing w:before="120" w:after="156"/>
        <w:ind w:left="359"/>
        <w:jc w:val="left"/>
        <w:rPr>
          <w:rFonts w:hint="eastAsia" w:ascii="宋体" w:hAnsi="宋体" w:eastAsia="宋体" w:cs="宋体"/>
          <w:sz w:val="24"/>
        </w:rPr>
      </w:pPr>
      <w:bookmarkStart w:id="1463" w:name="_Toc302635984"/>
      <w:bookmarkStart w:id="1464" w:name="_Toc305331469"/>
      <w:bookmarkStart w:id="1465" w:name="_Toc67418765"/>
      <w:bookmarkStart w:id="1466" w:name="_Toc14460"/>
      <w:r>
        <w:rPr>
          <w:rFonts w:hint="eastAsia" w:ascii="宋体" w:hAnsi="宋体" w:eastAsia="宋体" w:cs="宋体"/>
          <w:sz w:val="24"/>
        </w:rPr>
        <w:t>13.1 工期</w:t>
      </w:r>
      <w:bookmarkEnd w:id="1463"/>
      <w:bookmarkEnd w:id="1464"/>
      <w:bookmarkEnd w:id="1465"/>
      <w:bookmarkEnd w:id="1466"/>
    </w:p>
    <w:p>
      <w:pPr>
        <w:spacing w:line="360" w:lineRule="auto"/>
        <w:ind w:firstLine="480"/>
        <w:rPr>
          <w:rFonts w:hint="eastAsia" w:ascii="宋体" w:hAnsi="宋体" w:eastAsia="宋体" w:cs="宋体"/>
          <w:sz w:val="24"/>
        </w:rPr>
      </w:pPr>
      <w:r>
        <w:rPr>
          <w:rFonts w:hint="eastAsia" w:ascii="宋体" w:hAnsi="宋体" w:eastAsia="宋体" w:cs="宋体"/>
          <w:sz w:val="24"/>
        </w:rPr>
        <w:t>本工程单项工程的工期约定：</w:t>
      </w:r>
    </w:p>
    <w:tbl>
      <w:tblPr>
        <w:tblStyle w:val="38"/>
        <w:tblW w:w="841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984"/>
        <w:gridCol w:w="2297"/>
        <w:gridCol w:w="2239"/>
        <w:gridCol w:w="1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709" w:type="dxa"/>
            <w:noWrap w:val="0"/>
            <w:vAlign w:val="center"/>
          </w:tcPr>
          <w:p>
            <w:pPr>
              <w:ind w:left="-57" w:right="-105"/>
              <w:jc w:val="center"/>
              <w:rPr>
                <w:rFonts w:hint="eastAsia" w:ascii="宋体" w:hAnsi="宋体" w:eastAsia="宋体" w:cs="宋体"/>
                <w:sz w:val="24"/>
              </w:rPr>
            </w:pPr>
            <w:r>
              <w:rPr>
                <w:rFonts w:hint="eastAsia" w:ascii="宋体" w:hAnsi="宋体" w:eastAsia="宋体" w:cs="宋体"/>
                <w:sz w:val="24"/>
              </w:rPr>
              <w:t>序号</w:t>
            </w:r>
          </w:p>
        </w:tc>
        <w:tc>
          <w:tcPr>
            <w:tcW w:w="1984" w:type="dxa"/>
            <w:noWrap w:val="0"/>
            <w:vAlign w:val="center"/>
          </w:tcPr>
          <w:p>
            <w:pPr>
              <w:ind w:left="-57" w:right="-105"/>
              <w:jc w:val="center"/>
              <w:rPr>
                <w:rFonts w:hint="eastAsia" w:ascii="宋体" w:hAnsi="宋体" w:eastAsia="宋体" w:cs="宋体"/>
                <w:sz w:val="24"/>
              </w:rPr>
            </w:pPr>
            <w:r>
              <w:rPr>
                <w:rFonts w:hint="eastAsia" w:ascii="宋体" w:hAnsi="宋体" w:eastAsia="宋体" w:cs="宋体"/>
                <w:sz w:val="24"/>
              </w:rPr>
              <w:t>单项工程名称</w:t>
            </w:r>
          </w:p>
        </w:tc>
        <w:tc>
          <w:tcPr>
            <w:tcW w:w="2297" w:type="dxa"/>
            <w:noWrap w:val="0"/>
            <w:vAlign w:val="center"/>
          </w:tcPr>
          <w:p>
            <w:pPr>
              <w:ind w:left="-57" w:right="-105"/>
              <w:jc w:val="center"/>
              <w:rPr>
                <w:rFonts w:hint="eastAsia" w:ascii="宋体" w:hAnsi="宋体" w:eastAsia="宋体" w:cs="宋体"/>
                <w:sz w:val="24"/>
              </w:rPr>
            </w:pPr>
            <w:r>
              <w:rPr>
                <w:rFonts w:hint="eastAsia" w:ascii="宋体" w:hAnsi="宋体" w:eastAsia="宋体" w:cs="宋体"/>
                <w:sz w:val="24"/>
              </w:rPr>
              <w:t>开工日期</w:t>
            </w:r>
          </w:p>
        </w:tc>
        <w:tc>
          <w:tcPr>
            <w:tcW w:w="2239" w:type="dxa"/>
            <w:noWrap w:val="0"/>
            <w:vAlign w:val="center"/>
          </w:tcPr>
          <w:p>
            <w:pPr>
              <w:ind w:left="-108" w:right="-105"/>
              <w:jc w:val="center"/>
              <w:rPr>
                <w:rFonts w:hint="eastAsia" w:ascii="宋体" w:hAnsi="宋体" w:eastAsia="宋体" w:cs="宋体"/>
                <w:sz w:val="24"/>
              </w:rPr>
            </w:pPr>
            <w:r>
              <w:rPr>
                <w:rFonts w:hint="eastAsia" w:ascii="宋体" w:hAnsi="宋体" w:eastAsia="宋体" w:cs="宋体"/>
                <w:sz w:val="24"/>
              </w:rPr>
              <w:t>竣工日期</w:t>
            </w:r>
          </w:p>
        </w:tc>
        <w:tc>
          <w:tcPr>
            <w:tcW w:w="1181" w:type="dxa"/>
            <w:noWrap w:val="0"/>
            <w:vAlign w:val="center"/>
          </w:tcPr>
          <w:p>
            <w:pPr>
              <w:ind w:left="-108" w:right="-105"/>
              <w:jc w:val="center"/>
              <w:rPr>
                <w:rFonts w:hint="eastAsia" w:ascii="宋体" w:hAnsi="宋体" w:eastAsia="宋体" w:cs="宋体"/>
                <w:sz w:val="24"/>
              </w:rPr>
            </w:pPr>
            <w:r>
              <w:rPr>
                <w:rFonts w:hint="eastAsia" w:ascii="宋体" w:hAnsi="宋体" w:eastAsia="宋体" w:cs="宋体"/>
                <w:sz w:val="24"/>
              </w:rPr>
              <w:t>工期</w:t>
            </w:r>
          </w:p>
          <w:p>
            <w:pPr>
              <w:ind w:left="-108" w:right="-105"/>
              <w:jc w:val="center"/>
              <w:rPr>
                <w:rFonts w:hint="eastAsia" w:ascii="宋体" w:hAnsi="宋体" w:eastAsia="宋体" w:cs="宋体"/>
                <w:sz w:val="24"/>
              </w:rPr>
            </w:pPr>
            <w:r>
              <w:rPr>
                <w:rFonts w:hint="eastAsia" w:ascii="宋体" w:hAnsi="宋体" w:eastAsia="宋体" w:cs="宋体"/>
                <w:sz w:val="24"/>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709" w:type="dxa"/>
            <w:noWrap w:val="0"/>
            <w:vAlign w:val="center"/>
          </w:tcPr>
          <w:p>
            <w:pPr>
              <w:spacing w:line="360" w:lineRule="auto"/>
              <w:ind w:left="-57" w:right="-105"/>
              <w:jc w:val="center"/>
              <w:rPr>
                <w:rFonts w:hint="eastAsia" w:ascii="宋体" w:hAnsi="宋体" w:eastAsia="宋体" w:cs="宋体"/>
                <w:sz w:val="24"/>
              </w:rPr>
            </w:pPr>
            <w:r>
              <w:rPr>
                <w:rFonts w:hint="eastAsia" w:ascii="宋体" w:hAnsi="宋体" w:eastAsia="宋体" w:cs="宋体"/>
                <w:sz w:val="24"/>
              </w:rPr>
              <w:t>1</w:t>
            </w:r>
          </w:p>
        </w:tc>
        <w:tc>
          <w:tcPr>
            <w:tcW w:w="1984" w:type="dxa"/>
            <w:noWrap w:val="0"/>
            <w:vAlign w:val="bottom"/>
          </w:tcPr>
          <w:p>
            <w:pPr>
              <w:spacing w:line="360" w:lineRule="auto"/>
              <w:ind w:left="-57" w:right="-105"/>
              <w:rPr>
                <w:rFonts w:hint="eastAsia" w:ascii="宋体" w:hAnsi="宋体" w:eastAsia="宋体" w:cs="宋体"/>
                <w:sz w:val="24"/>
              </w:rPr>
            </w:pPr>
          </w:p>
        </w:tc>
        <w:tc>
          <w:tcPr>
            <w:tcW w:w="2297" w:type="dxa"/>
            <w:noWrap w:val="0"/>
            <w:vAlign w:val="bottom"/>
          </w:tcPr>
          <w:p>
            <w:pPr>
              <w:spacing w:line="360" w:lineRule="auto"/>
              <w:ind w:left="-57" w:right="-105"/>
              <w:rPr>
                <w:rFonts w:hint="eastAsia" w:ascii="宋体" w:hAnsi="宋体" w:eastAsia="宋体" w:cs="宋体"/>
                <w:sz w:val="24"/>
              </w:rPr>
            </w:pPr>
          </w:p>
        </w:tc>
        <w:tc>
          <w:tcPr>
            <w:tcW w:w="2239" w:type="dxa"/>
            <w:noWrap w:val="0"/>
            <w:vAlign w:val="bottom"/>
          </w:tcPr>
          <w:p>
            <w:pPr>
              <w:spacing w:line="360" w:lineRule="auto"/>
              <w:ind w:left="-57" w:right="-105"/>
              <w:rPr>
                <w:rFonts w:hint="eastAsia" w:ascii="宋体" w:hAnsi="宋体" w:eastAsia="宋体" w:cs="宋体"/>
                <w:sz w:val="24"/>
              </w:rPr>
            </w:pPr>
          </w:p>
        </w:tc>
        <w:tc>
          <w:tcPr>
            <w:tcW w:w="1181" w:type="dxa"/>
            <w:noWrap w:val="0"/>
            <w:vAlign w:val="bottom"/>
          </w:tcPr>
          <w:p>
            <w:pPr>
              <w:spacing w:line="360" w:lineRule="auto"/>
              <w:ind w:left="-57" w:right="-105"/>
              <w:rPr>
                <w:rFonts w:hint="eastAsia" w:ascii="宋体" w:hAnsi="宋体" w:eastAsia="宋体" w:cs="宋体"/>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709" w:type="dxa"/>
            <w:noWrap w:val="0"/>
            <w:vAlign w:val="center"/>
          </w:tcPr>
          <w:p>
            <w:pPr>
              <w:spacing w:line="360" w:lineRule="auto"/>
              <w:ind w:left="-57" w:right="-105"/>
              <w:jc w:val="center"/>
              <w:rPr>
                <w:rFonts w:hint="eastAsia" w:ascii="宋体" w:hAnsi="宋体" w:eastAsia="宋体" w:cs="宋体"/>
                <w:sz w:val="24"/>
              </w:rPr>
            </w:pPr>
            <w:r>
              <w:rPr>
                <w:rFonts w:hint="eastAsia" w:ascii="宋体" w:hAnsi="宋体" w:eastAsia="宋体" w:cs="宋体"/>
                <w:sz w:val="24"/>
              </w:rPr>
              <w:t>2</w:t>
            </w:r>
          </w:p>
        </w:tc>
        <w:tc>
          <w:tcPr>
            <w:tcW w:w="1984" w:type="dxa"/>
            <w:noWrap w:val="0"/>
            <w:vAlign w:val="bottom"/>
          </w:tcPr>
          <w:p>
            <w:pPr>
              <w:spacing w:line="360" w:lineRule="auto"/>
              <w:ind w:left="-57" w:right="-105"/>
              <w:rPr>
                <w:rFonts w:hint="eastAsia" w:ascii="宋体" w:hAnsi="宋体" w:eastAsia="宋体" w:cs="宋体"/>
                <w:sz w:val="24"/>
              </w:rPr>
            </w:pPr>
          </w:p>
        </w:tc>
        <w:tc>
          <w:tcPr>
            <w:tcW w:w="2297" w:type="dxa"/>
            <w:noWrap w:val="0"/>
            <w:vAlign w:val="bottom"/>
          </w:tcPr>
          <w:p>
            <w:pPr>
              <w:spacing w:line="360" w:lineRule="auto"/>
              <w:ind w:left="-57" w:right="-105"/>
              <w:rPr>
                <w:rFonts w:hint="eastAsia" w:ascii="宋体" w:hAnsi="宋体" w:eastAsia="宋体" w:cs="宋体"/>
                <w:sz w:val="24"/>
              </w:rPr>
            </w:pPr>
          </w:p>
        </w:tc>
        <w:tc>
          <w:tcPr>
            <w:tcW w:w="2239" w:type="dxa"/>
            <w:noWrap w:val="0"/>
            <w:vAlign w:val="bottom"/>
          </w:tcPr>
          <w:p>
            <w:pPr>
              <w:spacing w:line="360" w:lineRule="auto"/>
              <w:ind w:left="-57" w:right="-105"/>
              <w:rPr>
                <w:rFonts w:hint="eastAsia" w:ascii="宋体" w:hAnsi="宋体" w:eastAsia="宋体" w:cs="宋体"/>
                <w:sz w:val="24"/>
              </w:rPr>
            </w:pPr>
          </w:p>
        </w:tc>
        <w:tc>
          <w:tcPr>
            <w:tcW w:w="1181" w:type="dxa"/>
            <w:noWrap w:val="0"/>
            <w:vAlign w:val="bottom"/>
          </w:tcPr>
          <w:p>
            <w:pPr>
              <w:spacing w:line="360" w:lineRule="auto"/>
              <w:ind w:left="-57" w:right="-105"/>
              <w:rPr>
                <w:rFonts w:hint="eastAsia" w:ascii="宋体" w:hAnsi="宋体" w:eastAsia="宋体" w:cs="宋体"/>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709" w:type="dxa"/>
            <w:noWrap w:val="0"/>
            <w:vAlign w:val="center"/>
          </w:tcPr>
          <w:p>
            <w:pPr>
              <w:spacing w:line="360" w:lineRule="auto"/>
              <w:ind w:left="-57" w:right="-105"/>
              <w:jc w:val="center"/>
              <w:rPr>
                <w:rFonts w:hint="eastAsia" w:ascii="宋体" w:hAnsi="宋体" w:eastAsia="宋体" w:cs="宋体"/>
                <w:sz w:val="24"/>
              </w:rPr>
            </w:pPr>
            <w:r>
              <w:rPr>
                <w:rFonts w:hint="eastAsia" w:ascii="宋体" w:hAnsi="宋体" w:eastAsia="宋体" w:cs="宋体"/>
                <w:sz w:val="24"/>
              </w:rPr>
              <w:t>3</w:t>
            </w:r>
          </w:p>
        </w:tc>
        <w:tc>
          <w:tcPr>
            <w:tcW w:w="1984" w:type="dxa"/>
            <w:noWrap w:val="0"/>
            <w:vAlign w:val="bottom"/>
          </w:tcPr>
          <w:p>
            <w:pPr>
              <w:spacing w:line="360" w:lineRule="auto"/>
              <w:ind w:left="-57" w:right="-105"/>
              <w:rPr>
                <w:rFonts w:hint="eastAsia" w:ascii="宋体" w:hAnsi="宋体" w:eastAsia="宋体" w:cs="宋体"/>
                <w:sz w:val="24"/>
              </w:rPr>
            </w:pPr>
          </w:p>
        </w:tc>
        <w:tc>
          <w:tcPr>
            <w:tcW w:w="2297" w:type="dxa"/>
            <w:noWrap w:val="0"/>
            <w:vAlign w:val="bottom"/>
          </w:tcPr>
          <w:p>
            <w:pPr>
              <w:spacing w:line="360" w:lineRule="auto"/>
              <w:ind w:left="-57" w:right="-105"/>
              <w:rPr>
                <w:rFonts w:hint="eastAsia" w:ascii="宋体" w:hAnsi="宋体" w:eastAsia="宋体" w:cs="宋体"/>
                <w:sz w:val="24"/>
              </w:rPr>
            </w:pPr>
          </w:p>
        </w:tc>
        <w:tc>
          <w:tcPr>
            <w:tcW w:w="2239" w:type="dxa"/>
            <w:noWrap w:val="0"/>
            <w:vAlign w:val="bottom"/>
          </w:tcPr>
          <w:p>
            <w:pPr>
              <w:spacing w:line="360" w:lineRule="auto"/>
              <w:ind w:left="-57" w:right="-105"/>
              <w:rPr>
                <w:rFonts w:hint="eastAsia" w:ascii="宋体" w:hAnsi="宋体" w:eastAsia="宋体" w:cs="宋体"/>
                <w:sz w:val="24"/>
              </w:rPr>
            </w:pPr>
          </w:p>
        </w:tc>
        <w:tc>
          <w:tcPr>
            <w:tcW w:w="1181" w:type="dxa"/>
            <w:noWrap w:val="0"/>
            <w:vAlign w:val="bottom"/>
          </w:tcPr>
          <w:p>
            <w:pPr>
              <w:spacing w:line="360" w:lineRule="auto"/>
              <w:ind w:left="-57" w:right="-105"/>
              <w:rPr>
                <w:rFonts w:hint="eastAsia" w:ascii="宋体" w:hAnsi="宋体" w:eastAsia="宋体" w:cs="宋体"/>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709" w:type="dxa"/>
            <w:noWrap w:val="0"/>
            <w:vAlign w:val="center"/>
          </w:tcPr>
          <w:p>
            <w:pPr>
              <w:spacing w:line="360" w:lineRule="auto"/>
              <w:ind w:left="-57" w:right="-105"/>
              <w:jc w:val="center"/>
              <w:rPr>
                <w:rFonts w:hint="eastAsia" w:ascii="宋体" w:hAnsi="宋体" w:eastAsia="宋体" w:cs="宋体"/>
                <w:sz w:val="24"/>
              </w:rPr>
            </w:pPr>
            <w:r>
              <w:rPr>
                <w:rFonts w:hint="eastAsia" w:ascii="宋体" w:hAnsi="宋体" w:eastAsia="宋体" w:cs="宋体"/>
                <w:sz w:val="24"/>
              </w:rPr>
              <w:t>4</w:t>
            </w:r>
          </w:p>
        </w:tc>
        <w:tc>
          <w:tcPr>
            <w:tcW w:w="1984" w:type="dxa"/>
            <w:noWrap w:val="0"/>
            <w:vAlign w:val="bottom"/>
          </w:tcPr>
          <w:p>
            <w:pPr>
              <w:spacing w:line="360" w:lineRule="auto"/>
              <w:ind w:left="-57" w:right="-105"/>
              <w:rPr>
                <w:rFonts w:hint="eastAsia" w:ascii="宋体" w:hAnsi="宋体" w:eastAsia="宋体" w:cs="宋体"/>
                <w:sz w:val="24"/>
              </w:rPr>
            </w:pPr>
          </w:p>
        </w:tc>
        <w:tc>
          <w:tcPr>
            <w:tcW w:w="2297" w:type="dxa"/>
            <w:noWrap w:val="0"/>
            <w:vAlign w:val="bottom"/>
          </w:tcPr>
          <w:p>
            <w:pPr>
              <w:spacing w:line="360" w:lineRule="auto"/>
              <w:ind w:left="-57" w:right="-105"/>
              <w:rPr>
                <w:rFonts w:hint="eastAsia" w:ascii="宋体" w:hAnsi="宋体" w:eastAsia="宋体" w:cs="宋体"/>
                <w:sz w:val="24"/>
              </w:rPr>
            </w:pPr>
          </w:p>
        </w:tc>
        <w:tc>
          <w:tcPr>
            <w:tcW w:w="2239" w:type="dxa"/>
            <w:noWrap w:val="0"/>
            <w:vAlign w:val="bottom"/>
          </w:tcPr>
          <w:p>
            <w:pPr>
              <w:spacing w:line="360" w:lineRule="auto"/>
              <w:ind w:left="-57" w:right="-105"/>
              <w:rPr>
                <w:rFonts w:hint="eastAsia" w:ascii="宋体" w:hAnsi="宋体" w:eastAsia="宋体" w:cs="宋体"/>
                <w:sz w:val="24"/>
              </w:rPr>
            </w:pPr>
          </w:p>
        </w:tc>
        <w:tc>
          <w:tcPr>
            <w:tcW w:w="1181" w:type="dxa"/>
            <w:noWrap w:val="0"/>
            <w:vAlign w:val="bottom"/>
          </w:tcPr>
          <w:p>
            <w:pPr>
              <w:spacing w:line="360" w:lineRule="auto"/>
              <w:ind w:left="-57" w:right="-105"/>
              <w:rPr>
                <w:rFonts w:hint="eastAsia" w:ascii="宋体" w:hAnsi="宋体" w:eastAsia="宋体" w:cs="宋体"/>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709" w:type="dxa"/>
            <w:noWrap w:val="0"/>
            <w:vAlign w:val="center"/>
          </w:tcPr>
          <w:p>
            <w:pPr>
              <w:spacing w:line="360" w:lineRule="auto"/>
              <w:ind w:left="-57" w:right="-105"/>
              <w:jc w:val="center"/>
              <w:rPr>
                <w:rFonts w:hint="eastAsia" w:ascii="宋体" w:hAnsi="宋体" w:eastAsia="宋体" w:cs="宋体"/>
                <w:sz w:val="24"/>
              </w:rPr>
            </w:pPr>
            <w:r>
              <w:rPr>
                <w:rFonts w:hint="eastAsia" w:ascii="宋体" w:hAnsi="宋体" w:eastAsia="宋体" w:cs="宋体"/>
                <w:sz w:val="24"/>
              </w:rPr>
              <w:t>…</w:t>
            </w:r>
          </w:p>
        </w:tc>
        <w:tc>
          <w:tcPr>
            <w:tcW w:w="1984" w:type="dxa"/>
            <w:noWrap w:val="0"/>
            <w:vAlign w:val="bottom"/>
          </w:tcPr>
          <w:p>
            <w:pPr>
              <w:spacing w:line="360" w:lineRule="auto"/>
              <w:ind w:left="-57" w:right="-105"/>
              <w:rPr>
                <w:rFonts w:hint="eastAsia" w:ascii="宋体" w:hAnsi="宋体" w:eastAsia="宋体" w:cs="宋体"/>
                <w:sz w:val="24"/>
              </w:rPr>
            </w:pPr>
          </w:p>
        </w:tc>
        <w:tc>
          <w:tcPr>
            <w:tcW w:w="2297" w:type="dxa"/>
            <w:noWrap w:val="0"/>
            <w:vAlign w:val="bottom"/>
          </w:tcPr>
          <w:p>
            <w:pPr>
              <w:spacing w:line="360" w:lineRule="auto"/>
              <w:ind w:left="-57" w:right="-105"/>
              <w:rPr>
                <w:rFonts w:hint="eastAsia" w:ascii="宋体" w:hAnsi="宋体" w:eastAsia="宋体" w:cs="宋体"/>
                <w:sz w:val="24"/>
              </w:rPr>
            </w:pPr>
          </w:p>
        </w:tc>
        <w:tc>
          <w:tcPr>
            <w:tcW w:w="2239" w:type="dxa"/>
            <w:noWrap w:val="0"/>
            <w:vAlign w:val="center"/>
          </w:tcPr>
          <w:p>
            <w:pPr>
              <w:spacing w:line="360" w:lineRule="auto"/>
              <w:ind w:left="-57" w:right="-105"/>
              <w:jc w:val="center"/>
              <w:rPr>
                <w:rFonts w:hint="eastAsia" w:ascii="宋体" w:hAnsi="宋体" w:eastAsia="宋体" w:cs="宋体"/>
                <w:sz w:val="24"/>
                <w:u w:val="single"/>
              </w:rPr>
            </w:pPr>
          </w:p>
        </w:tc>
        <w:tc>
          <w:tcPr>
            <w:tcW w:w="1181" w:type="dxa"/>
            <w:noWrap w:val="0"/>
            <w:vAlign w:val="center"/>
          </w:tcPr>
          <w:p>
            <w:pPr>
              <w:spacing w:line="360" w:lineRule="auto"/>
              <w:ind w:left="-57" w:right="-105"/>
              <w:jc w:val="center"/>
              <w:rPr>
                <w:rFonts w:hint="eastAsia" w:ascii="宋体" w:hAnsi="宋体" w:eastAsia="宋体" w:cs="宋体"/>
                <w:sz w:val="24"/>
                <w:u w:val="single"/>
              </w:rPr>
            </w:pPr>
          </w:p>
        </w:tc>
      </w:tr>
    </w:tbl>
    <w:p>
      <w:pPr>
        <w:pStyle w:val="3"/>
        <w:numPr>
          <w:ilvl w:val="0"/>
          <w:numId w:val="0"/>
        </w:numPr>
        <w:tabs>
          <w:tab w:val="left" w:pos="540"/>
          <w:tab w:val="left" w:pos="900"/>
          <w:tab w:val="left" w:pos="2340"/>
        </w:tabs>
        <w:spacing w:before="120" w:after="156"/>
        <w:ind w:left="359"/>
        <w:jc w:val="left"/>
        <w:rPr>
          <w:rFonts w:hint="eastAsia" w:ascii="宋体" w:hAnsi="宋体" w:eastAsia="宋体" w:cs="宋体"/>
          <w:sz w:val="24"/>
        </w:rPr>
      </w:pPr>
      <w:bookmarkStart w:id="1467" w:name="_Toc828"/>
      <w:bookmarkStart w:id="1468" w:name="_Toc67418766"/>
      <w:bookmarkStart w:id="1469" w:name="_Toc302635985"/>
      <w:bookmarkStart w:id="1470" w:name="_Toc305331470"/>
      <w:r>
        <w:rPr>
          <w:rFonts w:hint="eastAsia" w:ascii="宋体" w:hAnsi="宋体" w:eastAsia="宋体" w:cs="宋体"/>
          <w:sz w:val="24"/>
        </w:rPr>
        <w:t>13.2 因发包人原因导致工期延误</w:t>
      </w:r>
      <w:bookmarkEnd w:id="1467"/>
      <w:bookmarkEnd w:id="1468"/>
      <w:bookmarkEnd w:id="1469"/>
    </w:p>
    <w:p>
      <w:pPr>
        <w:spacing w:line="360" w:lineRule="auto"/>
        <w:ind w:firstLine="480"/>
        <w:rPr>
          <w:rFonts w:hint="eastAsia" w:ascii="宋体" w:hAnsi="宋体" w:eastAsia="宋体" w:cs="宋体"/>
          <w:sz w:val="24"/>
          <w:u w:val="single"/>
        </w:rPr>
      </w:pPr>
      <w:r>
        <w:rPr>
          <w:rFonts w:hint="eastAsia" w:ascii="宋体" w:hAnsi="宋体" w:eastAsia="宋体" w:cs="宋体"/>
          <w:sz w:val="24"/>
        </w:rPr>
        <w:t>(7)因发包人原因导致工期延误的其他情形：</w:t>
      </w:r>
      <w:r>
        <w:rPr>
          <w:rFonts w:hint="eastAsia" w:ascii="宋体" w:hAnsi="宋体" w:eastAsia="宋体" w:cs="宋体"/>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pStyle w:val="3"/>
        <w:numPr>
          <w:ilvl w:val="0"/>
          <w:numId w:val="0"/>
        </w:numPr>
        <w:tabs>
          <w:tab w:val="left" w:pos="540"/>
          <w:tab w:val="left" w:pos="900"/>
          <w:tab w:val="left" w:pos="2340"/>
        </w:tabs>
        <w:spacing w:before="120" w:after="156"/>
        <w:ind w:left="359"/>
        <w:jc w:val="left"/>
        <w:rPr>
          <w:rFonts w:hint="eastAsia" w:ascii="宋体" w:hAnsi="宋体" w:eastAsia="宋体" w:cs="宋体"/>
          <w:sz w:val="24"/>
        </w:rPr>
      </w:pPr>
      <w:bookmarkStart w:id="1471" w:name="_Toc67418767"/>
      <w:bookmarkStart w:id="1472" w:name="_Toc6847"/>
      <w:r>
        <w:rPr>
          <w:rFonts w:hint="eastAsia" w:ascii="宋体" w:hAnsi="宋体" w:eastAsia="宋体" w:cs="宋体"/>
          <w:sz w:val="24"/>
        </w:rPr>
        <w:t>13.3 因承包人原因导致工期延误</w:t>
      </w:r>
      <w:bookmarkEnd w:id="1471"/>
      <w:bookmarkEnd w:id="1472"/>
    </w:p>
    <w:p>
      <w:pPr>
        <w:spacing w:line="360" w:lineRule="auto"/>
        <w:ind w:firstLine="480"/>
        <w:rPr>
          <w:rFonts w:hint="eastAsia" w:ascii="宋体" w:hAnsi="宋体" w:eastAsia="宋体" w:cs="宋体"/>
          <w:sz w:val="24"/>
          <w:u w:val="single"/>
        </w:rPr>
      </w:pPr>
      <w:r>
        <w:rPr>
          <w:rFonts w:hint="eastAsia" w:ascii="宋体" w:hAnsi="宋体" w:eastAsia="宋体" w:cs="宋体"/>
          <w:sz w:val="24"/>
        </w:rPr>
        <w:t>逾期竣工违约金计算方法：</w:t>
      </w:r>
      <w:r>
        <w:rPr>
          <w:rFonts w:hint="eastAsia" w:ascii="宋体" w:hAnsi="宋体" w:eastAsia="宋体" w:cs="宋体"/>
          <w:sz w:val="24"/>
          <w:u w:val="single"/>
        </w:rPr>
        <w:t xml:space="preserve">                                                </w:t>
      </w:r>
    </w:p>
    <w:p>
      <w:pPr>
        <w:spacing w:line="360" w:lineRule="auto"/>
        <w:ind w:firstLine="480"/>
        <w:rPr>
          <w:rFonts w:hint="eastAsia" w:ascii="宋体" w:hAnsi="宋体" w:eastAsia="宋体" w:cs="宋体"/>
          <w:sz w:val="24"/>
          <w:u w:val="single"/>
        </w:rPr>
      </w:pPr>
      <w:bookmarkStart w:id="1473" w:name="_Toc302635986"/>
      <w:r>
        <w:rPr>
          <w:rFonts w:hint="eastAsia" w:ascii="宋体" w:hAnsi="宋体" w:eastAsia="宋体" w:cs="宋体"/>
          <w:sz w:val="24"/>
        </w:rPr>
        <w:t>逾期竣工违约金的上限：</w:t>
      </w:r>
      <w:r>
        <w:rPr>
          <w:rFonts w:hint="eastAsia" w:ascii="宋体" w:hAnsi="宋体" w:eastAsia="宋体" w:cs="宋体"/>
          <w:sz w:val="24"/>
          <w:u w:val="single"/>
        </w:rPr>
        <w:t xml:space="preserve">                                                  </w:t>
      </w:r>
    </w:p>
    <w:p>
      <w:pPr>
        <w:pStyle w:val="3"/>
        <w:numPr>
          <w:ilvl w:val="0"/>
          <w:numId w:val="0"/>
        </w:numPr>
        <w:tabs>
          <w:tab w:val="left" w:pos="540"/>
          <w:tab w:val="left" w:pos="900"/>
          <w:tab w:val="left" w:pos="2340"/>
        </w:tabs>
        <w:spacing w:before="120" w:after="156"/>
        <w:ind w:left="359"/>
        <w:jc w:val="left"/>
        <w:rPr>
          <w:rFonts w:hint="eastAsia" w:ascii="宋体" w:hAnsi="宋体" w:eastAsia="宋体" w:cs="宋体"/>
          <w:sz w:val="24"/>
        </w:rPr>
      </w:pPr>
      <w:bookmarkStart w:id="1474" w:name="_Toc67418768"/>
      <w:bookmarkStart w:id="1475" w:name="_Toc10531"/>
      <w:r>
        <w:rPr>
          <w:rFonts w:hint="eastAsia" w:ascii="宋体" w:hAnsi="宋体" w:eastAsia="宋体" w:cs="宋体"/>
          <w:sz w:val="24"/>
        </w:rPr>
        <w:t>13.4 提前竣工</w:t>
      </w:r>
      <w:bookmarkEnd w:id="1470"/>
      <w:bookmarkEnd w:id="1473"/>
      <w:bookmarkEnd w:id="1474"/>
      <w:bookmarkEnd w:id="1475"/>
    </w:p>
    <w:p>
      <w:pPr>
        <w:spacing w:line="360" w:lineRule="auto"/>
        <w:ind w:firstLine="480"/>
        <w:jc w:val="left"/>
        <w:rPr>
          <w:rFonts w:hint="eastAsia" w:ascii="宋体" w:hAnsi="宋体" w:eastAsia="宋体" w:cs="宋体"/>
          <w:sz w:val="24"/>
        </w:rPr>
      </w:pPr>
      <w:r>
        <w:rPr>
          <w:rFonts w:hint="eastAsia" w:ascii="宋体" w:hAnsi="宋体" w:eastAsia="宋体" w:cs="宋体"/>
          <w:sz w:val="24"/>
        </w:rPr>
        <w:t>(3)提前竣工奖励费及限额约定：承包人每提前一天竣工奖励</w:t>
      </w:r>
      <w:r>
        <w:rPr>
          <w:rFonts w:hint="eastAsia" w:ascii="宋体" w:hAnsi="宋体" w:eastAsia="宋体" w:cs="宋体"/>
          <w:sz w:val="24"/>
          <w:u w:val="single"/>
        </w:rPr>
        <w:t xml:space="preserve">            </w:t>
      </w:r>
      <w:r>
        <w:rPr>
          <w:rFonts w:hint="eastAsia" w:ascii="宋体" w:hAnsi="宋体" w:eastAsia="宋体" w:cs="宋体"/>
          <w:sz w:val="24"/>
        </w:rPr>
        <w:t>；奖励总额不超过签约合同价的</w:t>
      </w:r>
      <w:r>
        <w:rPr>
          <w:rFonts w:hint="eastAsia" w:ascii="宋体" w:hAnsi="宋体" w:eastAsia="宋体" w:cs="宋体"/>
          <w:sz w:val="24"/>
          <w:u w:val="single"/>
        </w:rPr>
        <w:t xml:space="preserve">        </w:t>
      </w:r>
      <w:r>
        <w:rPr>
          <w:rFonts w:hint="eastAsia" w:ascii="宋体" w:hAnsi="宋体" w:eastAsia="宋体" w:cs="宋体"/>
          <w:sz w:val="24"/>
        </w:rPr>
        <w:t>(建议10%)。</w:t>
      </w:r>
    </w:p>
    <w:p>
      <w:pPr>
        <w:spacing w:line="360" w:lineRule="auto"/>
        <w:ind w:firstLine="480"/>
        <w:jc w:val="left"/>
        <w:rPr>
          <w:rFonts w:hint="eastAsia" w:ascii="宋体" w:hAnsi="宋体" w:eastAsia="宋体" w:cs="宋体"/>
          <w:sz w:val="24"/>
        </w:rPr>
      </w:pPr>
      <w:r>
        <w:rPr>
          <w:rFonts w:hint="eastAsia" w:ascii="宋体" w:hAnsi="宋体" w:eastAsia="宋体" w:cs="宋体"/>
          <w:sz w:val="24"/>
        </w:rPr>
        <w:t>(4)《深圳市建设工程施工工期定额》缺项的专业工程压缩工期补偿费用计算方法：</w:t>
      </w:r>
      <w:r>
        <w:rPr>
          <w:rFonts w:hint="eastAsia" w:ascii="宋体" w:hAnsi="宋体" w:eastAsia="宋体" w:cs="宋体"/>
          <w:sz w:val="24"/>
          <w:u w:val="single"/>
        </w:rPr>
        <w:t xml:space="preserve">                            </w:t>
      </w:r>
    </w:p>
    <w:p>
      <w:pPr>
        <w:spacing w:line="360" w:lineRule="auto"/>
        <w:ind w:firstLine="480"/>
        <w:jc w:val="left"/>
        <w:rPr>
          <w:rFonts w:hint="eastAsia" w:ascii="宋体" w:hAnsi="宋体" w:eastAsia="宋体" w:cs="宋体"/>
          <w:sz w:val="24"/>
        </w:rPr>
      </w:pPr>
      <w:r>
        <w:rPr>
          <w:rFonts w:hint="eastAsia" w:ascii="宋体" w:hAnsi="宋体" w:eastAsia="宋体" w:cs="宋体"/>
          <w:sz w:val="24"/>
        </w:rPr>
        <w:t>需采取特殊措施以缩短工期的专业工程及压缩工期补偿费用计算方法：</w:t>
      </w:r>
    </w:p>
    <w:p>
      <w:pPr>
        <w:spacing w:line="360" w:lineRule="auto"/>
        <w:rPr>
          <w:rFonts w:hint="eastAsia" w:ascii="宋体" w:hAnsi="宋体" w:eastAsia="宋体" w:cs="宋体"/>
          <w:bCs/>
          <w:sz w:val="24"/>
          <w:u w:val="single"/>
        </w:rPr>
      </w:pPr>
      <w:bookmarkStart w:id="1476" w:name="_Toc302635987"/>
      <w:bookmarkStart w:id="1477" w:name="_Toc305331471"/>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bookmarkEnd w:id="1476"/>
    <w:bookmarkEnd w:id="1477"/>
    <w:p>
      <w:pPr>
        <w:pStyle w:val="2"/>
        <w:keepNext w:val="0"/>
        <w:keepLines w:val="0"/>
        <w:numPr>
          <w:ilvl w:val="0"/>
          <w:numId w:val="0"/>
        </w:numPr>
        <w:tabs>
          <w:tab w:val="left" w:pos="540"/>
          <w:tab w:val="left" w:pos="1620"/>
          <w:tab w:val="left" w:pos="2340"/>
        </w:tabs>
        <w:spacing w:before="120" w:after="120"/>
        <w:ind w:left="178"/>
        <w:rPr>
          <w:rFonts w:hint="eastAsia" w:ascii="宋体" w:hAnsi="宋体" w:eastAsia="宋体" w:cs="宋体"/>
        </w:rPr>
      </w:pPr>
      <w:bookmarkStart w:id="1478" w:name="_Toc67418769"/>
      <w:bookmarkStart w:id="1479" w:name="_Toc2722"/>
      <w:bookmarkStart w:id="1480" w:name="_Toc305331472"/>
      <w:bookmarkStart w:id="1481" w:name="_Toc302635989"/>
      <w:r>
        <w:rPr>
          <w:rFonts w:hint="eastAsia" w:ascii="宋体" w:hAnsi="宋体" w:eastAsia="宋体" w:cs="宋体"/>
        </w:rPr>
        <w:t>14 材料设备的供应和检测</w:t>
      </w:r>
      <w:bookmarkEnd w:id="1478"/>
      <w:bookmarkEnd w:id="1479"/>
      <w:bookmarkEnd w:id="1480"/>
      <w:bookmarkEnd w:id="1481"/>
    </w:p>
    <w:p>
      <w:pPr>
        <w:pStyle w:val="3"/>
        <w:numPr>
          <w:ilvl w:val="0"/>
          <w:numId w:val="0"/>
        </w:numPr>
        <w:tabs>
          <w:tab w:val="left" w:pos="540"/>
          <w:tab w:val="left" w:pos="900"/>
          <w:tab w:val="left" w:pos="2340"/>
        </w:tabs>
        <w:spacing w:before="120" w:after="156"/>
        <w:ind w:left="359"/>
        <w:jc w:val="left"/>
        <w:rPr>
          <w:rFonts w:hint="eastAsia" w:ascii="宋体" w:hAnsi="宋体" w:eastAsia="宋体" w:cs="宋体"/>
          <w:sz w:val="24"/>
        </w:rPr>
      </w:pPr>
      <w:bookmarkStart w:id="1482" w:name="_Toc302635990"/>
      <w:bookmarkStart w:id="1483" w:name="_Toc67418770"/>
      <w:bookmarkStart w:id="1484" w:name="_Toc305331473"/>
      <w:bookmarkStart w:id="1485" w:name="_Toc24016"/>
      <w:r>
        <w:rPr>
          <w:rFonts w:hint="eastAsia" w:ascii="宋体" w:hAnsi="宋体" w:eastAsia="宋体" w:cs="宋体"/>
          <w:sz w:val="24"/>
        </w:rPr>
        <w:t>14.1 发包人供应材料设备</w:t>
      </w:r>
      <w:bookmarkEnd w:id="1482"/>
      <w:bookmarkEnd w:id="1483"/>
      <w:bookmarkEnd w:id="1484"/>
      <w:bookmarkEnd w:id="1485"/>
    </w:p>
    <w:p>
      <w:pPr>
        <w:spacing w:line="360" w:lineRule="auto"/>
        <w:ind w:firstLine="480"/>
        <w:rPr>
          <w:rFonts w:hint="eastAsia" w:ascii="宋体" w:hAnsi="宋体" w:eastAsia="宋体" w:cs="宋体"/>
          <w:sz w:val="24"/>
        </w:rPr>
      </w:pPr>
      <w:r>
        <w:rPr>
          <w:rFonts w:hint="eastAsia" w:ascii="宋体" w:hAnsi="宋体" w:eastAsia="宋体" w:cs="宋体"/>
          <w:sz w:val="24"/>
        </w:rPr>
        <w:t>(1)发包人供应材料设备清单：</w:t>
      </w:r>
    </w:p>
    <w:p>
      <w:pPr>
        <w:spacing w:line="360" w:lineRule="auto"/>
        <w:jc w:val="center"/>
        <w:rPr>
          <w:rFonts w:hint="eastAsia" w:ascii="宋体" w:hAnsi="宋体" w:eastAsia="宋体" w:cs="宋体"/>
          <w:b/>
          <w:bCs/>
          <w:sz w:val="24"/>
        </w:rPr>
      </w:pPr>
      <w:r>
        <w:rPr>
          <w:rFonts w:hint="eastAsia" w:ascii="宋体" w:hAnsi="宋体" w:eastAsia="宋体" w:cs="宋体"/>
          <w:b/>
          <w:sz w:val="24"/>
        </w:rPr>
        <w:t>发包人供应材料设备清单</w:t>
      </w:r>
    </w:p>
    <w:tbl>
      <w:tblPr>
        <w:tblStyle w:val="38"/>
        <w:tblW w:w="8804" w:type="dxa"/>
        <w:tblInd w:w="93"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10"/>
        <w:gridCol w:w="1206"/>
        <w:gridCol w:w="851"/>
        <w:gridCol w:w="1276"/>
        <w:gridCol w:w="850"/>
        <w:gridCol w:w="851"/>
        <w:gridCol w:w="850"/>
        <w:gridCol w:w="851"/>
        <w:gridCol w:w="850"/>
        <w:gridCol w:w="70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62" w:hRule="atLeast"/>
        </w:trPr>
        <w:tc>
          <w:tcPr>
            <w:tcW w:w="510" w:type="dxa"/>
            <w:noWrap/>
            <w:vAlign w:val="center"/>
          </w:tcPr>
          <w:p>
            <w:pPr>
              <w:widowControl/>
              <w:ind w:left="-105" w:right="-105"/>
              <w:jc w:val="center"/>
              <w:rPr>
                <w:rFonts w:hint="eastAsia" w:ascii="宋体" w:hAnsi="宋体" w:eastAsia="宋体" w:cs="宋体"/>
                <w:kern w:val="0"/>
                <w:sz w:val="24"/>
              </w:rPr>
            </w:pPr>
            <w:r>
              <w:rPr>
                <w:rFonts w:hint="eastAsia" w:ascii="宋体" w:hAnsi="宋体" w:eastAsia="宋体" w:cs="宋体"/>
                <w:kern w:val="0"/>
                <w:sz w:val="24"/>
              </w:rPr>
              <w:t>序</w:t>
            </w:r>
          </w:p>
          <w:p>
            <w:pPr>
              <w:widowControl/>
              <w:ind w:left="-105" w:right="-105"/>
              <w:jc w:val="center"/>
              <w:rPr>
                <w:rFonts w:hint="eastAsia" w:ascii="宋体" w:hAnsi="宋体" w:eastAsia="宋体" w:cs="宋体"/>
                <w:kern w:val="0"/>
                <w:sz w:val="24"/>
              </w:rPr>
            </w:pPr>
            <w:r>
              <w:rPr>
                <w:rFonts w:hint="eastAsia" w:ascii="宋体" w:hAnsi="宋体" w:eastAsia="宋体" w:cs="宋体"/>
                <w:kern w:val="0"/>
                <w:sz w:val="24"/>
              </w:rPr>
              <w:t>号</w:t>
            </w:r>
          </w:p>
        </w:tc>
        <w:tc>
          <w:tcPr>
            <w:tcW w:w="1206" w:type="dxa"/>
            <w:noWrap/>
            <w:vAlign w:val="center"/>
          </w:tcPr>
          <w:p>
            <w:pPr>
              <w:widowControl/>
              <w:ind w:left="-105" w:right="-105"/>
              <w:jc w:val="center"/>
              <w:rPr>
                <w:rFonts w:hint="eastAsia" w:ascii="宋体" w:hAnsi="宋体" w:eastAsia="宋体" w:cs="宋体"/>
                <w:kern w:val="0"/>
                <w:sz w:val="24"/>
              </w:rPr>
            </w:pPr>
            <w:r>
              <w:rPr>
                <w:rFonts w:hint="eastAsia" w:ascii="宋体" w:hAnsi="宋体" w:eastAsia="宋体" w:cs="宋体"/>
                <w:kern w:val="0"/>
                <w:sz w:val="24"/>
              </w:rPr>
              <w:t>材料设备</w:t>
            </w:r>
          </w:p>
          <w:p>
            <w:pPr>
              <w:widowControl/>
              <w:ind w:left="-105" w:right="-105"/>
              <w:jc w:val="center"/>
              <w:rPr>
                <w:rFonts w:hint="eastAsia" w:ascii="宋体" w:hAnsi="宋体" w:eastAsia="宋体" w:cs="宋体"/>
                <w:kern w:val="0"/>
                <w:sz w:val="24"/>
              </w:rPr>
            </w:pPr>
            <w:r>
              <w:rPr>
                <w:rFonts w:hint="eastAsia" w:ascii="宋体" w:hAnsi="宋体" w:eastAsia="宋体" w:cs="宋体"/>
                <w:kern w:val="0"/>
                <w:sz w:val="24"/>
              </w:rPr>
              <w:t>名称</w:t>
            </w:r>
          </w:p>
        </w:tc>
        <w:tc>
          <w:tcPr>
            <w:tcW w:w="851" w:type="dxa"/>
            <w:noWrap/>
            <w:vAlign w:val="center"/>
          </w:tcPr>
          <w:p>
            <w:pPr>
              <w:widowControl/>
              <w:ind w:left="-105" w:right="-105"/>
              <w:jc w:val="center"/>
              <w:rPr>
                <w:rFonts w:hint="eastAsia" w:ascii="宋体" w:hAnsi="宋体" w:eastAsia="宋体" w:cs="宋体"/>
                <w:kern w:val="0"/>
                <w:sz w:val="24"/>
              </w:rPr>
            </w:pPr>
            <w:r>
              <w:rPr>
                <w:rFonts w:hint="eastAsia" w:ascii="宋体" w:hAnsi="宋体" w:eastAsia="宋体" w:cs="宋体"/>
                <w:kern w:val="0"/>
                <w:sz w:val="24"/>
              </w:rPr>
              <w:t>规格</w:t>
            </w:r>
          </w:p>
          <w:p>
            <w:pPr>
              <w:widowControl/>
              <w:ind w:left="-105" w:right="-105"/>
              <w:jc w:val="center"/>
              <w:rPr>
                <w:rFonts w:hint="eastAsia" w:ascii="宋体" w:hAnsi="宋体" w:eastAsia="宋体" w:cs="宋体"/>
                <w:kern w:val="0"/>
                <w:sz w:val="24"/>
              </w:rPr>
            </w:pPr>
            <w:r>
              <w:rPr>
                <w:rFonts w:hint="eastAsia" w:ascii="宋体" w:hAnsi="宋体" w:eastAsia="宋体" w:cs="宋体"/>
                <w:kern w:val="0"/>
                <w:sz w:val="24"/>
              </w:rPr>
              <w:t>型号</w:t>
            </w:r>
          </w:p>
        </w:tc>
        <w:tc>
          <w:tcPr>
            <w:tcW w:w="1276" w:type="dxa"/>
            <w:noWrap/>
            <w:vAlign w:val="center"/>
          </w:tcPr>
          <w:p>
            <w:pPr>
              <w:widowControl/>
              <w:ind w:left="-105" w:right="-105"/>
              <w:jc w:val="center"/>
              <w:rPr>
                <w:rFonts w:hint="eastAsia" w:ascii="宋体" w:hAnsi="宋体" w:eastAsia="宋体" w:cs="宋体"/>
                <w:kern w:val="0"/>
                <w:sz w:val="24"/>
              </w:rPr>
            </w:pPr>
            <w:r>
              <w:rPr>
                <w:rFonts w:hint="eastAsia" w:ascii="宋体" w:hAnsi="宋体" w:eastAsia="宋体" w:cs="宋体"/>
                <w:kern w:val="0"/>
                <w:sz w:val="24"/>
              </w:rPr>
              <w:t>生产厂家</w:t>
            </w:r>
          </w:p>
        </w:tc>
        <w:tc>
          <w:tcPr>
            <w:tcW w:w="850" w:type="dxa"/>
            <w:noWrap/>
            <w:vAlign w:val="center"/>
          </w:tcPr>
          <w:p>
            <w:pPr>
              <w:widowControl/>
              <w:ind w:left="-105" w:right="-105"/>
              <w:jc w:val="center"/>
              <w:rPr>
                <w:rFonts w:hint="eastAsia" w:ascii="宋体" w:hAnsi="宋体" w:eastAsia="宋体" w:cs="宋体"/>
                <w:kern w:val="0"/>
                <w:sz w:val="24"/>
              </w:rPr>
            </w:pPr>
            <w:r>
              <w:rPr>
                <w:rFonts w:hint="eastAsia" w:ascii="宋体" w:hAnsi="宋体" w:eastAsia="宋体" w:cs="宋体"/>
                <w:kern w:val="0"/>
                <w:sz w:val="24"/>
              </w:rPr>
              <w:t>单位</w:t>
            </w:r>
          </w:p>
        </w:tc>
        <w:tc>
          <w:tcPr>
            <w:tcW w:w="851" w:type="dxa"/>
            <w:noWrap/>
            <w:vAlign w:val="center"/>
          </w:tcPr>
          <w:p>
            <w:pPr>
              <w:widowControl/>
              <w:ind w:left="-105" w:right="-105"/>
              <w:jc w:val="center"/>
              <w:rPr>
                <w:rFonts w:hint="eastAsia" w:ascii="宋体" w:hAnsi="宋体" w:eastAsia="宋体" w:cs="宋体"/>
                <w:kern w:val="0"/>
                <w:sz w:val="24"/>
              </w:rPr>
            </w:pPr>
            <w:r>
              <w:rPr>
                <w:rFonts w:hint="eastAsia" w:ascii="宋体" w:hAnsi="宋体" w:eastAsia="宋体" w:cs="宋体"/>
                <w:kern w:val="0"/>
                <w:sz w:val="24"/>
              </w:rPr>
              <w:t>数量</w:t>
            </w:r>
          </w:p>
        </w:tc>
        <w:tc>
          <w:tcPr>
            <w:tcW w:w="850" w:type="dxa"/>
            <w:noWrap/>
            <w:vAlign w:val="center"/>
          </w:tcPr>
          <w:p>
            <w:pPr>
              <w:widowControl/>
              <w:ind w:left="-105" w:right="-105"/>
              <w:jc w:val="center"/>
              <w:rPr>
                <w:rFonts w:hint="eastAsia" w:ascii="宋体" w:hAnsi="宋体" w:eastAsia="宋体" w:cs="宋体"/>
                <w:kern w:val="0"/>
                <w:sz w:val="24"/>
              </w:rPr>
            </w:pPr>
            <w:r>
              <w:rPr>
                <w:rFonts w:hint="eastAsia" w:ascii="宋体" w:hAnsi="宋体" w:eastAsia="宋体" w:cs="宋体"/>
                <w:kern w:val="0"/>
                <w:sz w:val="24"/>
              </w:rPr>
              <w:t>单价</w:t>
            </w:r>
          </w:p>
          <w:p>
            <w:pPr>
              <w:widowControl/>
              <w:ind w:left="-105" w:right="-105"/>
              <w:jc w:val="center"/>
              <w:rPr>
                <w:rFonts w:hint="eastAsia" w:ascii="宋体" w:hAnsi="宋体" w:eastAsia="宋体" w:cs="宋体"/>
                <w:kern w:val="0"/>
                <w:sz w:val="24"/>
              </w:rPr>
            </w:pPr>
            <w:r>
              <w:rPr>
                <w:rFonts w:hint="eastAsia" w:ascii="宋体" w:hAnsi="宋体" w:eastAsia="宋体" w:cs="宋体"/>
                <w:kern w:val="0"/>
                <w:sz w:val="24"/>
              </w:rPr>
              <w:t>(元)</w:t>
            </w:r>
          </w:p>
        </w:tc>
        <w:tc>
          <w:tcPr>
            <w:tcW w:w="851" w:type="dxa"/>
            <w:noWrap/>
            <w:vAlign w:val="center"/>
          </w:tcPr>
          <w:p>
            <w:pPr>
              <w:widowControl/>
              <w:ind w:left="-105" w:right="-105"/>
              <w:jc w:val="center"/>
              <w:rPr>
                <w:rFonts w:hint="eastAsia" w:ascii="宋体" w:hAnsi="宋体" w:eastAsia="宋体" w:cs="宋体"/>
                <w:kern w:val="0"/>
                <w:sz w:val="24"/>
              </w:rPr>
            </w:pPr>
            <w:r>
              <w:rPr>
                <w:rFonts w:hint="eastAsia" w:ascii="宋体" w:hAnsi="宋体" w:eastAsia="宋体" w:cs="宋体"/>
                <w:kern w:val="0"/>
                <w:sz w:val="24"/>
              </w:rPr>
              <w:t>总价</w:t>
            </w:r>
          </w:p>
          <w:p>
            <w:pPr>
              <w:widowControl/>
              <w:ind w:left="-105" w:right="-105"/>
              <w:jc w:val="center"/>
              <w:rPr>
                <w:rFonts w:hint="eastAsia" w:ascii="宋体" w:hAnsi="宋体" w:eastAsia="宋体" w:cs="宋体"/>
                <w:kern w:val="0"/>
                <w:sz w:val="24"/>
              </w:rPr>
            </w:pPr>
            <w:r>
              <w:rPr>
                <w:rFonts w:hint="eastAsia" w:ascii="宋体" w:hAnsi="宋体" w:eastAsia="宋体" w:cs="宋体"/>
                <w:kern w:val="0"/>
                <w:sz w:val="24"/>
              </w:rPr>
              <w:t>(元)</w:t>
            </w:r>
          </w:p>
        </w:tc>
        <w:tc>
          <w:tcPr>
            <w:tcW w:w="850" w:type="dxa"/>
            <w:noWrap/>
            <w:vAlign w:val="center"/>
          </w:tcPr>
          <w:p>
            <w:pPr>
              <w:widowControl/>
              <w:ind w:left="-105" w:right="-105"/>
              <w:jc w:val="center"/>
              <w:rPr>
                <w:rFonts w:hint="eastAsia" w:ascii="宋体" w:hAnsi="宋体" w:eastAsia="宋体" w:cs="宋体"/>
                <w:kern w:val="0"/>
                <w:sz w:val="24"/>
              </w:rPr>
            </w:pPr>
            <w:r>
              <w:rPr>
                <w:rFonts w:hint="eastAsia" w:ascii="宋体" w:hAnsi="宋体" w:eastAsia="宋体" w:cs="宋体"/>
                <w:kern w:val="0"/>
                <w:sz w:val="24"/>
              </w:rPr>
              <w:t>质量</w:t>
            </w:r>
          </w:p>
          <w:p>
            <w:pPr>
              <w:widowControl/>
              <w:ind w:left="-105" w:right="-105"/>
              <w:jc w:val="center"/>
              <w:rPr>
                <w:rFonts w:hint="eastAsia" w:ascii="宋体" w:hAnsi="宋体" w:eastAsia="宋体" w:cs="宋体"/>
                <w:kern w:val="0"/>
                <w:sz w:val="24"/>
              </w:rPr>
            </w:pPr>
            <w:r>
              <w:rPr>
                <w:rFonts w:hint="eastAsia" w:ascii="宋体" w:hAnsi="宋体" w:eastAsia="宋体" w:cs="宋体"/>
                <w:kern w:val="0"/>
                <w:sz w:val="24"/>
              </w:rPr>
              <w:t>等级</w:t>
            </w:r>
          </w:p>
        </w:tc>
        <w:tc>
          <w:tcPr>
            <w:tcW w:w="709" w:type="dxa"/>
            <w:noWrap/>
            <w:vAlign w:val="center"/>
          </w:tcPr>
          <w:p>
            <w:pPr>
              <w:widowControl/>
              <w:ind w:left="-105" w:right="-105"/>
              <w:jc w:val="center"/>
              <w:rPr>
                <w:rFonts w:hint="eastAsia" w:ascii="宋体" w:hAnsi="宋体" w:eastAsia="宋体" w:cs="宋体"/>
                <w:kern w:val="0"/>
                <w:sz w:val="24"/>
              </w:rPr>
            </w:pPr>
            <w:r>
              <w:rPr>
                <w:rFonts w:hint="eastAsia" w:ascii="宋体" w:hAnsi="宋体" w:eastAsia="宋体" w:cs="宋体"/>
                <w:kern w:val="0"/>
                <w:sz w:val="24"/>
              </w:rPr>
              <w:t>时间</w:t>
            </w:r>
          </w:p>
          <w:p>
            <w:pPr>
              <w:widowControl/>
              <w:ind w:left="-105" w:right="-105"/>
              <w:jc w:val="center"/>
              <w:rPr>
                <w:rFonts w:hint="eastAsia" w:ascii="宋体" w:hAnsi="宋体" w:eastAsia="宋体" w:cs="宋体"/>
                <w:kern w:val="0"/>
                <w:sz w:val="24"/>
              </w:rPr>
            </w:pPr>
            <w:r>
              <w:rPr>
                <w:rFonts w:hint="eastAsia" w:ascii="宋体" w:hAnsi="宋体" w:eastAsia="宋体" w:cs="宋体"/>
                <w:kern w:val="0"/>
                <w:sz w:val="24"/>
              </w:rPr>
              <w:t>地点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510" w:type="dxa"/>
            <w:noWrap/>
            <w:vAlign w:val="bottom"/>
          </w:tcPr>
          <w:p>
            <w:pPr>
              <w:widowControl/>
              <w:spacing w:line="360" w:lineRule="auto"/>
              <w:jc w:val="left"/>
              <w:rPr>
                <w:rFonts w:hint="eastAsia" w:ascii="宋体" w:hAnsi="宋体" w:eastAsia="宋体" w:cs="宋体"/>
                <w:kern w:val="0"/>
                <w:sz w:val="24"/>
              </w:rPr>
            </w:pPr>
          </w:p>
        </w:tc>
        <w:tc>
          <w:tcPr>
            <w:tcW w:w="1206" w:type="dxa"/>
            <w:noWrap/>
            <w:vAlign w:val="bottom"/>
          </w:tcPr>
          <w:p>
            <w:pPr>
              <w:widowControl/>
              <w:spacing w:line="360" w:lineRule="auto"/>
              <w:jc w:val="left"/>
              <w:rPr>
                <w:rFonts w:hint="eastAsia" w:ascii="宋体" w:hAnsi="宋体" w:eastAsia="宋体" w:cs="宋体"/>
                <w:kern w:val="0"/>
                <w:sz w:val="24"/>
              </w:rPr>
            </w:pPr>
          </w:p>
        </w:tc>
        <w:tc>
          <w:tcPr>
            <w:tcW w:w="851" w:type="dxa"/>
            <w:noWrap/>
            <w:vAlign w:val="bottom"/>
          </w:tcPr>
          <w:p>
            <w:pPr>
              <w:widowControl/>
              <w:spacing w:line="360" w:lineRule="auto"/>
              <w:jc w:val="left"/>
              <w:rPr>
                <w:rFonts w:hint="eastAsia" w:ascii="宋体" w:hAnsi="宋体" w:eastAsia="宋体" w:cs="宋体"/>
                <w:kern w:val="0"/>
                <w:sz w:val="24"/>
              </w:rPr>
            </w:pPr>
          </w:p>
        </w:tc>
        <w:tc>
          <w:tcPr>
            <w:tcW w:w="1276" w:type="dxa"/>
            <w:noWrap/>
            <w:vAlign w:val="bottom"/>
          </w:tcPr>
          <w:p>
            <w:pPr>
              <w:widowControl/>
              <w:spacing w:line="360" w:lineRule="auto"/>
              <w:jc w:val="left"/>
              <w:rPr>
                <w:rFonts w:hint="eastAsia" w:ascii="宋体" w:hAnsi="宋体" w:eastAsia="宋体" w:cs="宋体"/>
                <w:kern w:val="0"/>
                <w:sz w:val="24"/>
              </w:rPr>
            </w:pPr>
          </w:p>
        </w:tc>
        <w:tc>
          <w:tcPr>
            <w:tcW w:w="850" w:type="dxa"/>
            <w:noWrap/>
            <w:vAlign w:val="bottom"/>
          </w:tcPr>
          <w:p>
            <w:pPr>
              <w:widowControl/>
              <w:spacing w:line="360" w:lineRule="auto"/>
              <w:jc w:val="left"/>
              <w:rPr>
                <w:rFonts w:hint="eastAsia" w:ascii="宋体" w:hAnsi="宋体" w:eastAsia="宋体" w:cs="宋体"/>
                <w:kern w:val="0"/>
                <w:sz w:val="24"/>
              </w:rPr>
            </w:pPr>
          </w:p>
        </w:tc>
        <w:tc>
          <w:tcPr>
            <w:tcW w:w="851" w:type="dxa"/>
            <w:noWrap/>
            <w:vAlign w:val="bottom"/>
          </w:tcPr>
          <w:p>
            <w:pPr>
              <w:widowControl/>
              <w:spacing w:line="360" w:lineRule="auto"/>
              <w:jc w:val="left"/>
              <w:rPr>
                <w:rFonts w:hint="eastAsia" w:ascii="宋体" w:hAnsi="宋体" w:eastAsia="宋体" w:cs="宋体"/>
                <w:kern w:val="0"/>
                <w:sz w:val="24"/>
              </w:rPr>
            </w:pPr>
          </w:p>
        </w:tc>
        <w:tc>
          <w:tcPr>
            <w:tcW w:w="850" w:type="dxa"/>
            <w:noWrap/>
            <w:vAlign w:val="bottom"/>
          </w:tcPr>
          <w:p>
            <w:pPr>
              <w:widowControl/>
              <w:spacing w:line="360" w:lineRule="auto"/>
              <w:jc w:val="left"/>
              <w:rPr>
                <w:rFonts w:hint="eastAsia" w:ascii="宋体" w:hAnsi="宋体" w:eastAsia="宋体" w:cs="宋体"/>
                <w:kern w:val="0"/>
                <w:sz w:val="24"/>
              </w:rPr>
            </w:pPr>
          </w:p>
        </w:tc>
        <w:tc>
          <w:tcPr>
            <w:tcW w:w="851" w:type="dxa"/>
            <w:noWrap/>
            <w:vAlign w:val="bottom"/>
          </w:tcPr>
          <w:p>
            <w:pPr>
              <w:widowControl/>
              <w:spacing w:line="360" w:lineRule="auto"/>
              <w:jc w:val="left"/>
              <w:rPr>
                <w:rFonts w:hint="eastAsia" w:ascii="宋体" w:hAnsi="宋体" w:eastAsia="宋体" w:cs="宋体"/>
                <w:kern w:val="0"/>
                <w:sz w:val="24"/>
              </w:rPr>
            </w:pPr>
          </w:p>
        </w:tc>
        <w:tc>
          <w:tcPr>
            <w:tcW w:w="850" w:type="dxa"/>
            <w:noWrap/>
            <w:vAlign w:val="bottom"/>
          </w:tcPr>
          <w:p>
            <w:pPr>
              <w:widowControl/>
              <w:spacing w:line="360" w:lineRule="auto"/>
              <w:jc w:val="left"/>
              <w:rPr>
                <w:rFonts w:hint="eastAsia" w:ascii="宋体" w:hAnsi="宋体" w:eastAsia="宋体" w:cs="宋体"/>
                <w:kern w:val="0"/>
                <w:sz w:val="24"/>
              </w:rPr>
            </w:pPr>
          </w:p>
        </w:tc>
        <w:tc>
          <w:tcPr>
            <w:tcW w:w="709" w:type="dxa"/>
            <w:noWrap/>
            <w:vAlign w:val="bottom"/>
          </w:tcPr>
          <w:p>
            <w:pPr>
              <w:widowControl/>
              <w:spacing w:line="360" w:lineRule="auto"/>
              <w:jc w:val="left"/>
              <w:rPr>
                <w:rFonts w:hint="eastAsia" w:ascii="宋体" w:hAnsi="宋体" w:eastAsia="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510" w:type="dxa"/>
            <w:noWrap/>
            <w:vAlign w:val="bottom"/>
          </w:tcPr>
          <w:p>
            <w:pPr>
              <w:widowControl/>
              <w:spacing w:line="360" w:lineRule="auto"/>
              <w:jc w:val="left"/>
              <w:rPr>
                <w:rFonts w:hint="eastAsia" w:ascii="宋体" w:hAnsi="宋体" w:eastAsia="宋体" w:cs="宋体"/>
                <w:kern w:val="0"/>
                <w:sz w:val="24"/>
              </w:rPr>
            </w:pPr>
          </w:p>
        </w:tc>
        <w:tc>
          <w:tcPr>
            <w:tcW w:w="1206" w:type="dxa"/>
            <w:noWrap/>
            <w:vAlign w:val="bottom"/>
          </w:tcPr>
          <w:p>
            <w:pPr>
              <w:widowControl/>
              <w:spacing w:line="360" w:lineRule="auto"/>
              <w:jc w:val="left"/>
              <w:rPr>
                <w:rFonts w:hint="eastAsia" w:ascii="宋体" w:hAnsi="宋体" w:eastAsia="宋体" w:cs="宋体"/>
                <w:kern w:val="0"/>
                <w:sz w:val="24"/>
              </w:rPr>
            </w:pPr>
          </w:p>
        </w:tc>
        <w:tc>
          <w:tcPr>
            <w:tcW w:w="851" w:type="dxa"/>
            <w:noWrap/>
            <w:vAlign w:val="bottom"/>
          </w:tcPr>
          <w:p>
            <w:pPr>
              <w:widowControl/>
              <w:spacing w:line="360" w:lineRule="auto"/>
              <w:jc w:val="left"/>
              <w:rPr>
                <w:rFonts w:hint="eastAsia" w:ascii="宋体" w:hAnsi="宋体" w:eastAsia="宋体" w:cs="宋体"/>
                <w:kern w:val="0"/>
                <w:sz w:val="24"/>
              </w:rPr>
            </w:pPr>
          </w:p>
        </w:tc>
        <w:tc>
          <w:tcPr>
            <w:tcW w:w="1276" w:type="dxa"/>
            <w:noWrap/>
            <w:vAlign w:val="bottom"/>
          </w:tcPr>
          <w:p>
            <w:pPr>
              <w:widowControl/>
              <w:spacing w:line="360" w:lineRule="auto"/>
              <w:jc w:val="left"/>
              <w:rPr>
                <w:rFonts w:hint="eastAsia" w:ascii="宋体" w:hAnsi="宋体" w:eastAsia="宋体" w:cs="宋体"/>
                <w:kern w:val="0"/>
                <w:sz w:val="24"/>
              </w:rPr>
            </w:pPr>
          </w:p>
        </w:tc>
        <w:tc>
          <w:tcPr>
            <w:tcW w:w="850" w:type="dxa"/>
            <w:noWrap/>
            <w:vAlign w:val="bottom"/>
          </w:tcPr>
          <w:p>
            <w:pPr>
              <w:widowControl/>
              <w:spacing w:line="360" w:lineRule="auto"/>
              <w:jc w:val="left"/>
              <w:rPr>
                <w:rFonts w:hint="eastAsia" w:ascii="宋体" w:hAnsi="宋体" w:eastAsia="宋体" w:cs="宋体"/>
                <w:kern w:val="0"/>
                <w:sz w:val="24"/>
              </w:rPr>
            </w:pPr>
          </w:p>
        </w:tc>
        <w:tc>
          <w:tcPr>
            <w:tcW w:w="851" w:type="dxa"/>
            <w:noWrap/>
            <w:vAlign w:val="bottom"/>
          </w:tcPr>
          <w:p>
            <w:pPr>
              <w:widowControl/>
              <w:spacing w:line="360" w:lineRule="auto"/>
              <w:jc w:val="left"/>
              <w:rPr>
                <w:rFonts w:hint="eastAsia" w:ascii="宋体" w:hAnsi="宋体" w:eastAsia="宋体" w:cs="宋体"/>
                <w:kern w:val="0"/>
                <w:sz w:val="24"/>
              </w:rPr>
            </w:pPr>
          </w:p>
        </w:tc>
        <w:tc>
          <w:tcPr>
            <w:tcW w:w="850" w:type="dxa"/>
            <w:noWrap/>
            <w:vAlign w:val="bottom"/>
          </w:tcPr>
          <w:p>
            <w:pPr>
              <w:widowControl/>
              <w:spacing w:line="360" w:lineRule="auto"/>
              <w:jc w:val="left"/>
              <w:rPr>
                <w:rFonts w:hint="eastAsia" w:ascii="宋体" w:hAnsi="宋体" w:eastAsia="宋体" w:cs="宋体"/>
                <w:kern w:val="0"/>
                <w:sz w:val="24"/>
              </w:rPr>
            </w:pPr>
          </w:p>
        </w:tc>
        <w:tc>
          <w:tcPr>
            <w:tcW w:w="851" w:type="dxa"/>
            <w:noWrap/>
            <w:vAlign w:val="bottom"/>
          </w:tcPr>
          <w:p>
            <w:pPr>
              <w:widowControl/>
              <w:spacing w:line="360" w:lineRule="auto"/>
              <w:jc w:val="left"/>
              <w:rPr>
                <w:rFonts w:hint="eastAsia" w:ascii="宋体" w:hAnsi="宋体" w:eastAsia="宋体" w:cs="宋体"/>
                <w:kern w:val="0"/>
                <w:sz w:val="24"/>
              </w:rPr>
            </w:pPr>
          </w:p>
        </w:tc>
        <w:tc>
          <w:tcPr>
            <w:tcW w:w="850" w:type="dxa"/>
            <w:noWrap/>
            <w:vAlign w:val="bottom"/>
          </w:tcPr>
          <w:p>
            <w:pPr>
              <w:widowControl/>
              <w:spacing w:line="360" w:lineRule="auto"/>
              <w:jc w:val="left"/>
              <w:rPr>
                <w:rFonts w:hint="eastAsia" w:ascii="宋体" w:hAnsi="宋体" w:eastAsia="宋体" w:cs="宋体"/>
                <w:kern w:val="0"/>
                <w:sz w:val="24"/>
              </w:rPr>
            </w:pPr>
          </w:p>
        </w:tc>
        <w:tc>
          <w:tcPr>
            <w:tcW w:w="709" w:type="dxa"/>
            <w:noWrap/>
            <w:vAlign w:val="bottom"/>
          </w:tcPr>
          <w:p>
            <w:pPr>
              <w:widowControl/>
              <w:spacing w:line="360" w:lineRule="auto"/>
              <w:jc w:val="left"/>
              <w:rPr>
                <w:rFonts w:hint="eastAsia" w:ascii="宋体" w:hAnsi="宋体" w:eastAsia="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510" w:type="dxa"/>
            <w:noWrap/>
            <w:vAlign w:val="bottom"/>
          </w:tcPr>
          <w:p>
            <w:pPr>
              <w:widowControl/>
              <w:spacing w:line="360" w:lineRule="auto"/>
              <w:jc w:val="left"/>
              <w:rPr>
                <w:rFonts w:hint="eastAsia" w:ascii="宋体" w:hAnsi="宋体" w:eastAsia="宋体" w:cs="宋体"/>
                <w:kern w:val="0"/>
                <w:sz w:val="24"/>
              </w:rPr>
            </w:pPr>
          </w:p>
        </w:tc>
        <w:tc>
          <w:tcPr>
            <w:tcW w:w="1206" w:type="dxa"/>
            <w:noWrap/>
            <w:vAlign w:val="bottom"/>
          </w:tcPr>
          <w:p>
            <w:pPr>
              <w:widowControl/>
              <w:spacing w:line="360" w:lineRule="auto"/>
              <w:jc w:val="left"/>
              <w:rPr>
                <w:rFonts w:hint="eastAsia" w:ascii="宋体" w:hAnsi="宋体" w:eastAsia="宋体" w:cs="宋体"/>
                <w:kern w:val="0"/>
                <w:sz w:val="24"/>
              </w:rPr>
            </w:pPr>
          </w:p>
        </w:tc>
        <w:tc>
          <w:tcPr>
            <w:tcW w:w="851" w:type="dxa"/>
            <w:noWrap/>
            <w:vAlign w:val="bottom"/>
          </w:tcPr>
          <w:p>
            <w:pPr>
              <w:widowControl/>
              <w:spacing w:line="360" w:lineRule="auto"/>
              <w:jc w:val="left"/>
              <w:rPr>
                <w:rFonts w:hint="eastAsia" w:ascii="宋体" w:hAnsi="宋体" w:eastAsia="宋体" w:cs="宋体"/>
                <w:kern w:val="0"/>
                <w:sz w:val="24"/>
              </w:rPr>
            </w:pPr>
          </w:p>
        </w:tc>
        <w:tc>
          <w:tcPr>
            <w:tcW w:w="1276" w:type="dxa"/>
            <w:noWrap/>
            <w:vAlign w:val="bottom"/>
          </w:tcPr>
          <w:p>
            <w:pPr>
              <w:widowControl/>
              <w:spacing w:line="360" w:lineRule="auto"/>
              <w:jc w:val="left"/>
              <w:rPr>
                <w:rFonts w:hint="eastAsia" w:ascii="宋体" w:hAnsi="宋体" w:eastAsia="宋体" w:cs="宋体"/>
                <w:kern w:val="0"/>
                <w:sz w:val="24"/>
              </w:rPr>
            </w:pPr>
          </w:p>
        </w:tc>
        <w:tc>
          <w:tcPr>
            <w:tcW w:w="850" w:type="dxa"/>
            <w:noWrap/>
            <w:vAlign w:val="bottom"/>
          </w:tcPr>
          <w:p>
            <w:pPr>
              <w:widowControl/>
              <w:spacing w:line="360" w:lineRule="auto"/>
              <w:jc w:val="left"/>
              <w:rPr>
                <w:rFonts w:hint="eastAsia" w:ascii="宋体" w:hAnsi="宋体" w:eastAsia="宋体" w:cs="宋体"/>
                <w:kern w:val="0"/>
                <w:sz w:val="24"/>
              </w:rPr>
            </w:pPr>
          </w:p>
        </w:tc>
        <w:tc>
          <w:tcPr>
            <w:tcW w:w="851" w:type="dxa"/>
            <w:noWrap/>
            <w:vAlign w:val="bottom"/>
          </w:tcPr>
          <w:p>
            <w:pPr>
              <w:widowControl/>
              <w:spacing w:line="360" w:lineRule="auto"/>
              <w:jc w:val="left"/>
              <w:rPr>
                <w:rFonts w:hint="eastAsia" w:ascii="宋体" w:hAnsi="宋体" w:eastAsia="宋体" w:cs="宋体"/>
                <w:kern w:val="0"/>
                <w:sz w:val="24"/>
              </w:rPr>
            </w:pPr>
          </w:p>
        </w:tc>
        <w:tc>
          <w:tcPr>
            <w:tcW w:w="850" w:type="dxa"/>
            <w:noWrap/>
            <w:vAlign w:val="bottom"/>
          </w:tcPr>
          <w:p>
            <w:pPr>
              <w:widowControl/>
              <w:spacing w:line="360" w:lineRule="auto"/>
              <w:jc w:val="left"/>
              <w:rPr>
                <w:rFonts w:hint="eastAsia" w:ascii="宋体" w:hAnsi="宋体" w:eastAsia="宋体" w:cs="宋体"/>
                <w:kern w:val="0"/>
                <w:sz w:val="24"/>
              </w:rPr>
            </w:pPr>
          </w:p>
        </w:tc>
        <w:tc>
          <w:tcPr>
            <w:tcW w:w="851" w:type="dxa"/>
            <w:noWrap/>
            <w:vAlign w:val="bottom"/>
          </w:tcPr>
          <w:p>
            <w:pPr>
              <w:widowControl/>
              <w:spacing w:line="360" w:lineRule="auto"/>
              <w:jc w:val="left"/>
              <w:rPr>
                <w:rFonts w:hint="eastAsia" w:ascii="宋体" w:hAnsi="宋体" w:eastAsia="宋体" w:cs="宋体"/>
                <w:kern w:val="0"/>
                <w:sz w:val="24"/>
              </w:rPr>
            </w:pPr>
          </w:p>
        </w:tc>
        <w:tc>
          <w:tcPr>
            <w:tcW w:w="850" w:type="dxa"/>
            <w:noWrap/>
            <w:vAlign w:val="bottom"/>
          </w:tcPr>
          <w:p>
            <w:pPr>
              <w:widowControl/>
              <w:spacing w:line="360" w:lineRule="auto"/>
              <w:jc w:val="left"/>
              <w:rPr>
                <w:rFonts w:hint="eastAsia" w:ascii="宋体" w:hAnsi="宋体" w:eastAsia="宋体" w:cs="宋体"/>
                <w:kern w:val="0"/>
                <w:sz w:val="24"/>
              </w:rPr>
            </w:pPr>
          </w:p>
        </w:tc>
        <w:tc>
          <w:tcPr>
            <w:tcW w:w="709" w:type="dxa"/>
            <w:noWrap/>
            <w:vAlign w:val="bottom"/>
          </w:tcPr>
          <w:p>
            <w:pPr>
              <w:widowControl/>
              <w:spacing w:line="360" w:lineRule="auto"/>
              <w:jc w:val="left"/>
              <w:rPr>
                <w:rFonts w:hint="eastAsia" w:ascii="宋体" w:hAnsi="宋体" w:eastAsia="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510" w:type="dxa"/>
            <w:noWrap/>
            <w:vAlign w:val="bottom"/>
          </w:tcPr>
          <w:p>
            <w:pPr>
              <w:widowControl/>
              <w:spacing w:line="360" w:lineRule="auto"/>
              <w:jc w:val="left"/>
              <w:rPr>
                <w:rFonts w:hint="eastAsia" w:ascii="宋体" w:hAnsi="宋体" w:eastAsia="宋体" w:cs="宋体"/>
                <w:kern w:val="0"/>
                <w:sz w:val="24"/>
              </w:rPr>
            </w:pPr>
          </w:p>
        </w:tc>
        <w:tc>
          <w:tcPr>
            <w:tcW w:w="1206" w:type="dxa"/>
            <w:noWrap/>
            <w:vAlign w:val="bottom"/>
          </w:tcPr>
          <w:p>
            <w:pPr>
              <w:widowControl/>
              <w:spacing w:line="360" w:lineRule="auto"/>
              <w:jc w:val="left"/>
              <w:rPr>
                <w:rFonts w:hint="eastAsia" w:ascii="宋体" w:hAnsi="宋体" w:eastAsia="宋体" w:cs="宋体"/>
                <w:kern w:val="0"/>
                <w:sz w:val="24"/>
              </w:rPr>
            </w:pPr>
          </w:p>
        </w:tc>
        <w:tc>
          <w:tcPr>
            <w:tcW w:w="851" w:type="dxa"/>
            <w:noWrap/>
            <w:vAlign w:val="bottom"/>
          </w:tcPr>
          <w:p>
            <w:pPr>
              <w:widowControl/>
              <w:spacing w:line="360" w:lineRule="auto"/>
              <w:jc w:val="left"/>
              <w:rPr>
                <w:rFonts w:hint="eastAsia" w:ascii="宋体" w:hAnsi="宋体" w:eastAsia="宋体" w:cs="宋体"/>
                <w:kern w:val="0"/>
                <w:sz w:val="24"/>
              </w:rPr>
            </w:pPr>
          </w:p>
        </w:tc>
        <w:tc>
          <w:tcPr>
            <w:tcW w:w="1276" w:type="dxa"/>
            <w:noWrap/>
            <w:vAlign w:val="bottom"/>
          </w:tcPr>
          <w:p>
            <w:pPr>
              <w:widowControl/>
              <w:spacing w:line="360" w:lineRule="auto"/>
              <w:jc w:val="left"/>
              <w:rPr>
                <w:rFonts w:hint="eastAsia" w:ascii="宋体" w:hAnsi="宋体" w:eastAsia="宋体" w:cs="宋体"/>
                <w:kern w:val="0"/>
                <w:sz w:val="24"/>
              </w:rPr>
            </w:pPr>
          </w:p>
        </w:tc>
        <w:tc>
          <w:tcPr>
            <w:tcW w:w="850" w:type="dxa"/>
            <w:noWrap/>
            <w:vAlign w:val="bottom"/>
          </w:tcPr>
          <w:p>
            <w:pPr>
              <w:widowControl/>
              <w:spacing w:line="360" w:lineRule="auto"/>
              <w:jc w:val="left"/>
              <w:rPr>
                <w:rFonts w:hint="eastAsia" w:ascii="宋体" w:hAnsi="宋体" w:eastAsia="宋体" w:cs="宋体"/>
                <w:kern w:val="0"/>
                <w:sz w:val="24"/>
              </w:rPr>
            </w:pPr>
          </w:p>
        </w:tc>
        <w:tc>
          <w:tcPr>
            <w:tcW w:w="851" w:type="dxa"/>
            <w:noWrap/>
            <w:vAlign w:val="bottom"/>
          </w:tcPr>
          <w:p>
            <w:pPr>
              <w:widowControl/>
              <w:spacing w:line="360" w:lineRule="auto"/>
              <w:jc w:val="left"/>
              <w:rPr>
                <w:rFonts w:hint="eastAsia" w:ascii="宋体" w:hAnsi="宋体" w:eastAsia="宋体" w:cs="宋体"/>
                <w:kern w:val="0"/>
                <w:sz w:val="24"/>
              </w:rPr>
            </w:pPr>
          </w:p>
        </w:tc>
        <w:tc>
          <w:tcPr>
            <w:tcW w:w="850" w:type="dxa"/>
            <w:noWrap/>
            <w:vAlign w:val="bottom"/>
          </w:tcPr>
          <w:p>
            <w:pPr>
              <w:widowControl/>
              <w:spacing w:line="360" w:lineRule="auto"/>
              <w:jc w:val="left"/>
              <w:rPr>
                <w:rFonts w:hint="eastAsia" w:ascii="宋体" w:hAnsi="宋体" w:eastAsia="宋体" w:cs="宋体"/>
                <w:kern w:val="0"/>
                <w:sz w:val="24"/>
              </w:rPr>
            </w:pPr>
          </w:p>
        </w:tc>
        <w:tc>
          <w:tcPr>
            <w:tcW w:w="851" w:type="dxa"/>
            <w:noWrap/>
            <w:vAlign w:val="bottom"/>
          </w:tcPr>
          <w:p>
            <w:pPr>
              <w:widowControl/>
              <w:spacing w:line="360" w:lineRule="auto"/>
              <w:jc w:val="left"/>
              <w:rPr>
                <w:rFonts w:hint="eastAsia" w:ascii="宋体" w:hAnsi="宋体" w:eastAsia="宋体" w:cs="宋体"/>
                <w:kern w:val="0"/>
                <w:sz w:val="24"/>
              </w:rPr>
            </w:pPr>
          </w:p>
        </w:tc>
        <w:tc>
          <w:tcPr>
            <w:tcW w:w="850" w:type="dxa"/>
            <w:noWrap/>
            <w:vAlign w:val="bottom"/>
          </w:tcPr>
          <w:p>
            <w:pPr>
              <w:widowControl/>
              <w:spacing w:line="360" w:lineRule="auto"/>
              <w:jc w:val="left"/>
              <w:rPr>
                <w:rFonts w:hint="eastAsia" w:ascii="宋体" w:hAnsi="宋体" w:eastAsia="宋体" w:cs="宋体"/>
                <w:kern w:val="0"/>
                <w:sz w:val="24"/>
              </w:rPr>
            </w:pPr>
          </w:p>
        </w:tc>
        <w:tc>
          <w:tcPr>
            <w:tcW w:w="709" w:type="dxa"/>
            <w:noWrap/>
            <w:vAlign w:val="bottom"/>
          </w:tcPr>
          <w:p>
            <w:pPr>
              <w:widowControl/>
              <w:spacing w:line="360" w:lineRule="auto"/>
              <w:jc w:val="left"/>
              <w:rPr>
                <w:rFonts w:hint="eastAsia" w:ascii="宋体" w:hAnsi="宋体" w:eastAsia="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510" w:type="dxa"/>
            <w:noWrap/>
            <w:vAlign w:val="bottom"/>
          </w:tcPr>
          <w:p>
            <w:pPr>
              <w:widowControl/>
              <w:spacing w:line="360" w:lineRule="auto"/>
              <w:jc w:val="left"/>
              <w:rPr>
                <w:rFonts w:hint="eastAsia" w:ascii="宋体" w:hAnsi="宋体" w:eastAsia="宋体" w:cs="宋体"/>
                <w:kern w:val="0"/>
                <w:sz w:val="24"/>
              </w:rPr>
            </w:pPr>
          </w:p>
        </w:tc>
        <w:tc>
          <w:tcPr>
            <w:tcW w:w="1206" w:type="dxa"/>
            <w:noWrap/>
            <w:vAlign w:val="bottom"/>
          </w:tcPr>
          <w:p>
            <w:pPr>
              <w:widowControl/>
              <w:spacing w:line="360" w:lineRule="auto"/>
              <w:jc w:val="left"/>
              <w:rPr>
                <w:rFonts w:hint="eastAsia" w:ascii="宋体" w:hAnsi="宋体" w:eastAsia="宋体" w:cs="宋体"/>
                <w:kern w:val="0"/>
                <w:sz w:val="24"/>
              </w:rPr>
            </w:pPr>
          </w:p>
        </w:tc>
        <w:tc>
          <w:tcPr>
            <w:tcW w:w="851" w:type="dxa"/>
            <w:noWrap/>
            <w:vAlign w:val="bottom"/>
          </w:tcPr>
          <w:p>
            <w:pPr>
              <w:widowControl/>
              <w:spacing w:line="360" w:lineRule="auto"/>
              <w:jc w:val="left"/>
              <w:rPr>
                <w:rFonts w:hint="eastAsia" w:ascii="宋体" w:hAnsi="宋体" w:eastAsia="宋体" w:cs="宋体"/>
                <w:kern w:val="0"/>
                <w:sz w:val="24"/>
              </w:rPr>
            </w:pPr>
          </w:p>
        </w:tc>
        <w:tc>
          <w:tcPr>
            <w:tcW w:w="1276" w:type="dxa"/>
            <w:noWrap/>
            <w:vAlign w:val="bottom"/>
          </w:tcPr>
          <w:p>
            <w:pPr>
              <w:widowControl/>
              <w:spacing w:line="360" w:lineRule="auto"/>
              <w:jc w:val="left"/>
              <w:rPr>
                <w:rFonts w:hint="eastAsia" w:ascii="宋体" w:hAnsi="宋体" w:eastAsia="宋体" w:cs="宋体"/>
                <w:kern w:val="0"/>
                <w:sz w:val="24"/>
              </w:rPr>
            </w:pPr>
          </w:p>
        </w:tc>
        <w:tc>
          <w:tcPr>
            <w:tcW w:w="850" w:type="dxa"/>
            <w:noWrap/>
            <w:vAlign w:val="bottom"/>
          </w:tcPr>
          <w:p>
            <w:pPr>
              <w:widowControl/>
              <w:spacing w:line="360" w:lineRule="auto"/>
              <w:jc w:val="left"/>
              <w:rPr>
                <w:rFonts w:hint="eastAsia" w:ascii="宋体" w:hAnsi="宋体" w:eastAsia="宋体" w:cs="宋体"/>
                <w:kern w:val="0"/>
                <w:sz w:val="24"/>
              </w:rPr>
            </w:pPr>
          </w:p>
        </w:tc>
        <w:tc>
          <w:tcPr>
            <w:tcW w:w="851" w:type="dxa"/>
            <w:noWrap/>
            <w:vAlign w:val="bottom"/>
          </w:tcPr>
          <w:p>
            <w:pPr>
              <w:widowControl/>
              <w:spacing w:line="360" w:lineRule="auto"/>
              <w:jc w:val="left"/>
              <w:rPr>
                <w:rFonts w:hint="eastAsia" w:ascii="宋体" w:hAnsi="宋体" w:eastAsia="宋体" w:cs="宋体"/>
                <w:kern w:val="0"/>
                <w:sz w:val="24"/>
              </w:rPr>
            </w:pPr>
          </w:p>
        </w:tc>
        <w:tc>
          <w:tcPr>
            <w:tcW w:w="850" w:type="dxa"/>
            <w:noWrap/>
            <w:vAlign w:val="bottom"/>
          </w:tcPr>
          <w:p>
            <w:pPr>
              <w:widowControl/>
              <w:spacing w:line="360" w:lineRule="auto"/>
              <w:jc w:val="left"/>
              <w:rPr>
                <w:rFonts w:hint="eastAsia" w:ascii="宋体" w:hAnsi="宋体" w:eastAsia="宋体" w:cs="宋体"/>
                <w:kern w:val="0"/>
                <w:sz w:val="24"/>
              </w:rPr>
            </w:pPr>
          </w:p>
        </w:tc>
        <w:tc>
          <w:tcPr>
            <w:tcW w:w="851" w:type="dxa"/>
            <w:noWrap/>
            <w:vAlign w:val="bottom"/>
          </w:tcPr>
          <w:p>
            <w:pPr>
              <w:widowControl/>
              <w:spacing w:line="360" w:lineRule="auto"/>
              <w:jc w:val="left"/>
              <w:rPr>
                <w:rFonts w:hint="eastAsia" w:ascii="宋体" w:hAnsi="宋体" w:eastAsia="宋体" w:cs="宋体"/>
                <w:kern w:val="0"/>
                <w:sz w:val="24"/>
              </w:rPr>
            </w:pPr>
          </w:p>
        </w:tc>
        <w:tc>
          <w:tcPr>
            <w:tcW w:w="850" w:type="dxa"/>
            <w:noWrap/>
            <w:vAlign w:val="bottom"/>
          </w:tcPr>
          <w:p>
            <w:pPr>
              <w:widowControl/>
              <w:spacing w:line="360" w:lineRule="auto"/>
              <w:jc w:val="left"/>
              <w:rPr>
                <w:rFonts w:hint="eastAsia" w:ascii="宋体" w:hAnsi="宋体" w:eastAsia="宋体" w:cs="宋体"/>
                <w:kern w:val="0"/>
                <w:sz w:val="24"/>
              </w:rPr>
            </w:pPr>
          </w:p>
        </w:tc>
        <w:tc>
          <w:tcPr>
            <w:tcW w:w="709" w:type="dxa"/>
            <w:noWrap/>
            <w:vAlign w:val="bottom"/>
          </w:tcPr>
          <w:p>
            <w:pPr>
              <w:widowControl/>
              <w:spacing w:line="360" w:lineRule="auto"/>
              <w:jc w:val="left"/>
              <w:rPr>
                <w:rFonts w:hint="eastAsia" w:ascii="宋体" w:hAnsi="宋体" w:eastAsia="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510" w:type="dxa"/>
            <w:noWrap/>
            <w:vAlign w:val="bottom"/>
          </w:tcPr>
          <w:p>
            <w:pPr>
              <w:widowControl/>
              <w:spacing w:line="360" w:lineRule="auto"/>
              <w:jc w:val="left"/>
              <w:rPr>
                <w:rFonts w:hint="eastAsia" w:ascii="宋体" w:hAnsi="宋体" w:eastAsia="宋体" w:cs="宋体"/>
                <w:kern w:val="0"/>
                <w:sz w:val="24"/>
              </w:rPr>
            </w:pPr>
          </w:p>
        </w:tc>
        <w:tc>
          <w:tcPr>
            <w:tcW w:w="1206" w:type="dxa"/>
            <w:noWrap/>
            <w:vAlign w:val="bottom"/>
          </w:tcPr>
          <w:p>
            <w:pPr>
              <w:widowControl/>
              <w:spacing w:line="360" w:lineRule="auto"/>
              <w:jc w:val="left"/>
              <w:rPr>
                <w:rFonts w:hint="eastAsia" w:ascii="宋体" w:hAnsi="宋体" w:eastAsia="宋体" w:cs="宋体"/>
                <w:kern w:val="0"/>
                <w:sz w:val="24"/>
              </w:rPr>
            </w:pPr>
          </w:p>
        </w:tc>
        <w:tc>
          <w:tcPr>
            <w:tcW w:w="851" w:type="dxa"/>
            <w:noWrap/>
            <w:vAlign w:val="bottom"/>
          </w:tcPr>
          <w:p>
            <w:pPr>
              <w:widowControl/>
              <w:spacing w:line="360" w:lineRule="auto"/>
              <w:jc w:val="left"/>
              <w:rPr>
                <w:rFonts w:hint="eastAsia" w:ascii="宋体" w:hAnsi="宋体" w:eastAsia="宋体" w:cs="宋体"/>
                <w:kern w:val="0"/>
                <w:sz w:val="24"/>
              </w:rPr>
            </w:pPr>
          </w:p>
        </w:tc>
        <w:tc>
          <w:tcPr>
            <w:tcW w:w="1276" w:type="dxa"/>
            <w:noWrap/>
            <w:vAlign w:val="bottom"/>
          </w:tcPr>
          <w:p>
            <w:pPr>
              <w:widowControl/>
              <w:spacing w:line="360" w:lineRule="auto"/>
              <w:jc w:val="left"/>
              <w:rPr>
                <w:rFonts w:hint="eastAsia" w:ascii="宋体" w:hAnsi="宋体" w:eastAsia="宋体" w:cs="宋体"/>
                <w:kern w:val="0"/>
                <w:sz w:val="24"/>
              </w:rPr>
            </w:pPr>
          </w:p>
        </w:tc>
        <w:tc>
          <w:tcPr>
            <w:tcW w:w="850" w:type="dxa"/>
            <w:noWrap/>
            <w:vAlign w:val="bottom"/>
          </w:tcPr>
          <w:p>
            <w:pPr>
              <w:widowControl/>
              <w:spacing w:line="360" w:lineRule="auto"/>
              <w:jc w:val="left"/>
              <w:rPr>
                <w:rFonts w:hint="eastAsia" w:ascii="宋体" w:hAnsi="宋体" w:eastAsia="宋体" w:cs="宋体"/>
                <w:kern w:val="0"/>
                <w:sz w:val="24"/>
              </w:rPr>
            </w:pPr>
          </w:p>
        </w:tc>
        <w:tc>
          <w:tcPr>
            <w:tcW w:w="851" w:type="dxa"/>
            <w:noWrap/>
            <w:vAlign w:val="bottom"/>
          </w:tcPr>
          <w:p>
            <w:pPr>
              <w:widowControl/>
              <w:spacing w:line="360" w:lineRule="auto"/>
              <w:jc w:val="left"/>
              <w:rPr>
                <w:rFonts w:hint="eastAsia" w:ascii="宋体" w:hAnsi="宋体" w:eastAsia="宋体" w:cs="宋体"/>
                <w:kern w:val="0"/>
                <w:sz w:val="24"/>
              </w:rPr>
            </w:pPr>
          </w:p>
        </w:tc>
        <w:tc>
          <w:tcPr>
            <w:tcW w:w="850" w:type="dxa"/>
            <w:noWrap/>
            <w:vAlign w:val="bottom"/>
          </w:tcPr>
          <w:p>
            <w:pPr>
              <w:widowControl/>
              <w:spacing w:line="360" w:lineRule="auto"/>
              <w:jc w:val="left"/>
              <w:rPr>
                <w:rFonts w:hint="eastAsia" w:ascii="宋体" w:hAnsi="宋体" w:eastAsia="宋体" w:cs="宋体"/>
                <w:kern w:val="0"/>
                <w:sz w:val="24"/>
              </w:rPr>
            </w:pPr>
          </w:p>
        </w:tc>
        <w:tc>
          <w:tcPr>
            <w:tcW w:w="851" w:type="dxa"/>
            <w:noWrap/>
            <w:vAlign w:val="bottom"/>
          </w:tcPr>
          <w:p>
            <w:pPr>
              <w:widowControl/>
              <w:spacing w:line="360" w:lineRule="auto"/>
              <w:jc w:val="left"/>
              <w:rPr>
                <w:rFonts w:hint="eastAsia" w:ascii="宋体" w:hAnsi="宋体" w:eastAsia="宋体" w:cs="宋体"/>
                <w:kern w:val="0"/>
                <w:sz w:val="24"/>
              </w:rPr>
            </w:pPr>
          </w:p>
        </w:tc>
        <w:tc>
          <w:tcPr>
            <w:tcW w:w="850" w:type="dxa"/>
            <w:noWrap/>
            <w:vAlign w:val="bottom"/>
          </w:tcPr>
          <w:p>
            <w:pPr>
              <w:widowControl/>
              <w:spacing w:line="360" w:lineRule="auto"/>
              <w:jc w:val="left"/>
              <w:rPr>
                <w:rFonts w:hint="eastAsia" w:ascii="宋体" w:hAnsi="宋体" w:eastAsia="宋体" w:cs="宋体"/>
                <w:kern w:val="0"/>
                <w:sz w:val="24"/>
              </w:rPr>
            </w:pPr>
          </w:p>
        </w:tc>
        <w:tc>
          <w:tcPr>
            <w:tcW w:w="709" w:type="dxa"/>
            <w:noWrap/>
            <w:vAlign w:val="bottom"/>
          </w:tcPr>
          <w:p>
            <w:pPr>
              <w:widowControl/>
              <w:spacing w:line="360" w:lineRule="auto"/>
              <w:jc w:val="left"/>
              <w:rPr>
                <w:rFonts w:hint="eastAsia" w:ascii="宋体" w:hAnsi="宋体" w:eastAsia="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510" w:type="dxa"/>
            <w:noWrap/>
            <w:vAlign w:val="bottom"/>
          </w:tcPr>
          <w:p>
            <w:pPr>
              <w:widowControl/>
              <w:spacing w:line="360" w:lineRule="auto"/>
              <w:jc w:val="left"/>
              <w:rPr>
                <w:rFonts w:hint="eastAsia" w:ascii="宋体" w:hAnsi="宋体" w:eastAsia="宋体" w:cs="宋体"/>
                <w:kern w:val="0"/>
                <w:sz w:val="24"/>
              </w:rPr>
            </w:pPr>
          </w:p>
        </w:tc>
        <w:tc>
          <w:tcPr>
            <w:tcW w:w="1206" w:type="dxa"/>
            <w:noWrap/>
            <w:vAlign w:val="bottom"/>
          </w:tcPr>
          <w:p>
            <w:pPr>
              <w:widowControl/>
              <w:spacing w:line="360" w:lineRule="auto"/>
              <w:jc w:val="left"/>
              <w:rPr>
                <w:rFonts w:hint="eastAsia" w:ascii="宋体" w:hAnsi="宋体" w:eastAsia="宋体" w:cs="宋体"/>
                <w:kern w:val="0"/>
                <w:sz w:val="24"/>
              </w:rPr>
            </w:pPr>
          </w:p>
        </w:tc>
        <w:tc>
          <w:tcPr>
            <w:tcW w:w="851" w:type="dxa"/>
            <w:noWrap/>
            <w:vAlign w:val="bottom"/>
          </w:tcPr>
          <w:p>
            <w:pPr>
              <w:widowControl/>
              <w:spacing w:line="360" w:lineRule="auto"/>
              <w:jc w:val="left"/>
              <w:rPr>
                <w:rFonts w:hint="eastAsia" w:ascii="宋体" w:hAnsi="宋体" w:eastAsia="宋体" w:cs="宋体"/>
                <w:kern w:val="0"/>
                <w:sz w:val="24"/>
              </w:rPr>
            </w:pPr>
          </w:p>
        </w:tc>
        <w:tc>
          <w:tcPr>
            <w:tcW w:w="1276" w:type="dxa"/>
            <w:noWrap/>
            <w:vAlign w:val="bottom"/>
          </w:tcPr>
          <w:p>
            <w:pPr>
              <w:widowControl/>
              <w:spacing w:line="360" w:lineRule="auto"/>
              <w:jc w:val="left"/>
              <w:rPr>
                <w:rFonts w:hint="eastAsia" w:ascii="宋体" w:hAnsi="宋体" w:eastAsia="宋体" w:cs="宋体"/>
                <w:kern w:val="0"/>
                <w:sz w:val="24"/>
              </w:rPr>
            </w:pPr>
          </w:p>
        </w:tc>
        <w:tc>
          <w:tcPr>
            <w:tcW w:w="850" w:type="dxa"/>
            <w:noWrap/>
            <w:vAlign w:val="bottom"/>
          </w:tcPr>
          <w:p>
            <w:pPr>
              <w:widowControl/>
              <w:spacing w:line="360" w:lineRule="auto"/>
              <w:jc w:val="left"/>
              <w:rPr>
                <w:rFonts w:hint="eastAsia" w:ascii="宋体" w:hAnsi="宋体" w:eastAsia="宋体" w:cs="宋体"/>
                <w:kern w:val="0"/>
                <w:sz w:val="24"/>
              </w:rPr>
            </w:pPr>
          </w:p>
        </w:tc>
        <w:tc>
          <w:tcPr>
            <w:tcW w:w="851" w:type="dxa"/>
            <w:noWrap/>
            <w:vAlign w:val="bottom"/>
          </w:tcPr>
          <w:p>
            <w:pPr>
              <w:widowControl/>
              <w:spacing w:line="360" w:lineRule="auto"/>
              <w:jc w:val="left"/>
              <w:rPr>
                <w:rFonts w:hint="eastAsia" w:ascii="宋体" w:hAnsi="宋体" w:eastAsia="宋体" w:cs="宋体"/>
                <w:kern w:val="0"/>
                <w:sz w:val="24"/>
              </w:rPr>
            </w:pPr>
          </w:p>
        </w:tc>
        <w:tc>
          <w:tcPr>
            <w:tcW w:w="850" w:type="dxa"/>
            <w:noWrap/>
            <w:vAlign w:val="bottom"/>
          </w:tcPr>
          <w:p>
            <w:pPr>
              <w:widowControl/>
              <w:spacing w:line="360" w:lineRule="auto"/>
              <w:jc w:val="left"/>
              <w:rPr>
                <w:rFonts w:hint="eastAsia" w:ascii="宋体" w:hAnsi="宋体" w:eastAsia="宋体" w:cs="宋体"/>
                <w:kern w:val="0"/>
                <w:sz w:val="24"/>
              </w:rPr>
            </w:pPr>
          </w:p>
        </w:tc>
        <w:tc>
          <w:tcPr>
            <w:tcW w:w="851" w:type="dxa"/>
            <w:noWrap/>
            <w:vAlign w:val="bottom"/>
          </w:tcPr>
          <w:p>
            <w:pPr>
              <w:widowControl/>
              <w:spacing w:line="360" w:lineRule="auto"/>
              <w:jc w:val="left"/>
              <w:rPr>
                <w:rFonts w:hint="eastAsia" w:ascii="宋体" w:hAnsi="宋体" w:eastAsia="宋体" w:cs="宋体"/>
                <w:kern w:val="0"/>
                <w:sz w:val="24"/>
              </w:rPr>
            </w:pPr>
          </w:p>
        </w:tc>
        <w:tc>
          <w:tcPr>
            <w:tcW w:w="850" w:type="dxa"/>
            <w:noWrap/>
            <w:vAlign w:val="bottom"/>
          </w:tcPr>
          <w:p>
            <w:pPr>
              <w:widowControl/>
              <w:spacing w:line="360" w:lineRule="auto"/>
              <w:jc w:val="left"/>
              <w:rPr>
                <w:rFonts w:hint="eastAsia" w:ascii="宋体" w:hAnsi="宋体" w:eastAsia="宋体" w:cs="宋体"/>
                <w:kern w:val="0"/>
                <w:sz w:val="24"/>
              </w:rPr>
            </w:pPr>
          </w:p>
        </w:tc>
        <w:tc>
          <w:tcPr>
            <w:tcW w:w="709" w:type="dxa"/>
            <w:noWrap/>
            <w:vAlign w:val="bottom"/>
          </w:tcPr>
          <w:p>
            <w:pPr>
              <w:widowControl/>
              <w:spacing w:line="360" w:lineRule="auto"/>
              <w:jc w:val="left"/>
              <w:rPr>
                <w:rFonts w:hint="eastAsia" w:ascii="宋体" w:hAnsi="宋体" w:eastAsia="宋体" w:cs="宋体"/>
                <w:kern w:val="0"/>
                <w:sz w:val="24"/>
              </w:rPr>
            </w:pPr>
          </w:p>
        </w:tc>
      </w:tr>
    </w:tbl>
    <w:p>
      <w:pPr>
        <w:spacing w:line="360" w:lineRule="auto"/>
        <w:ind w:firstLine="480"/>
        <w:rPr>
          <w:rFonts w:hint="eastAsia" w:ascii="宋体" w:hAnsi="宋体" w:eastAsia="宋体" w:cs="宋体"/>
          <w:sz w:val="24"/>
          <w:u w:val="single"/>
        </w:rPr>
      </w:pPr>
    </w:p>
    <w:p>
      <w:pPr>
        <w:spacing w:line="360" w:lineRule="auto"/>
        <w:ind w:firstLine="480"/>
        <w:rPr>
          <w:rFonts w:hint="eastAsia" w:ascii="宋体" w:hAnsi="宋体" w:eastAsia="宋体" w:cs="宋体"/>
          <w:sz w:val="24"/>
        </w:rPr>
      </w:pPr>
      <w:r>
        <w:rPr>
          <w:rFonts w:hint="eastAsia" w:ascii="宋体" w:hAnsi="宋体" w:eastAsia="宋体" w:cs="宋体"/>
          <w:sz w:val="24"/>
        </w:rPr>
        <w:t>(3)发包人供应材料设备保管费(包括装卸费)的费率为：</w:t>
      </w:r>
      <w:r>
        <w:rPr>
          <w:rFonts w:hint="eastAsia" w:ascii="宋体" w:hAnsi="宋体" w:eastAsia="宋体" w:cs="宋体"/>
          <w:kern w:val="0"/>
          <w:sz w:val="24"/>
          <w:u w:val="single"/>
        </w:rPr>
        <w:t xml:space="preserve">    </w:t>
      </w:r>
      <w:r>
        <w:rPr>
          <w:rFonts w:hint="eastAsia" w:ascii="宋体" w:hAnsi="宋体" w:eastAsia="宋体" w:cs="宋体"/>
          <w:sz w:val="24"/>
          <w:u w:val="single"/>
        </w:rPr>
        <w:t xml:space="preserve">               </w:t>
      </w:r>
      <w:r>
        <w:rPr>
          <w:rFonts w:hint="eastAsia" w:ascii="宋体" w:hAnsi="宋体" w:eastAsia="宋体" w:cs="宋体"/>
          <w:kern w:val="0"/>
          <w:sz w:val="24"/>
          <w:u w:val="single"/>
        </w:rPr>
        <w:t xml:space="preserve">      </w:t>
      </w:r>
      <w:r>
        <w:rPr>
          <w:rFonts w:hint="eastAsia" w:ascii="宋体" w:hAnsi="宋体" w:eastAsia="宋体" w:cs="宋体"/>
          <w:sz w:val="24"/>
        </w:rPr>
        <w:t xml:space="preserve">             </w:t>
      </w:r>
    </w:p>
    <w:p>
      <w:pPr>
        <w:pStyle w:val="3"/>
        <w:numPr>
          <w:ilvl w:val="0"/>
          <w:numId w:val="0"/>
        </w:numPr>
        <w:tabs>
          <w:tab w:val="left" w:pos="540"/>
          <w:tab w:val="left" w:pos="900"/>
          <w:tab w:val="left" w:pos="2340"/>
        </w:tabs>
        <w:spacing w:before="120" w:after="156"/>
        <w:ind w:left="359"/>
        <w:jc w:val="left"/>
        <w:rPr>
          <w:rFonts w:hint="eastAsia" w:ascii="宋体" w:hAnsi="宋体" w:eastAsia="宋体" w:cs="宋体"/>
          <w:sz w:val="24"/>
        </w:rPr>
      </w:pPr>
      <w:bookmarkStart w:id="1486" w:name="_Toc67418771"/>
      <w:bookmarkStart w:id="1487" w:name="_Toc305331474"/>
      <w:bookmarkStart w:id="1488" w:name="_Toc302635991"/>
      <w:bookmarkStart w:id="1489" w:name="_Toc25648"/>
      <w:r>
        <w:rPr>
          <w:rFonts w:hint="eastAsia" w:ascii="宋体" w:hAnsi="宋体" w:eastAsia="宋体" w:cs="宋体"/>
          <w:sz w:val="24"/>
        </w:rPr>
        <w:t>14.2 发包人供应材料设备的结算</w:t>
      </w:r>
      <w:bookmarkEnd w:id="1486"/>
      <w:bookmarkEnd w:id="1487"/>
      <w:bookmarkEnd w:id="1488"/>
      <w:bookmarkEnd w:id="1489"/>
    </w:p>
    <w:p>
      <w:pPr>
        <w:spacing w:line="360" w:lineRule="auto"/>
        <w:ind w:firstLine="480"/>
        <w:rPr>
          <w:rFonts w:hint="eastAsia" w:ascii="宋体" w:hAnsi="宋体" w:eastAsia="宋体" w:cs="宋体"/>
          <w:sz w:val="24"/>
        </w:rPr>
      </w:pPr>
      <w:r>
        <w:rPr>
          <w:rFonts w:hint="eastAsia" w:ascii="宋体" w:hAnsi="宋体" w:eastAsia="宋体" w:cs="宋体"/>
          <w:sz w:val="24"/>
        </w:rPr>
        <w:t>发包人供应材料设备的结算</w:t>
      </w:r>
      <w:r>
        <w:rPr>
          <w:rFonts w:hint="eastAsia" w:ascii="宋体" w:hAnsi="宋体" w:eastAsia="宋体" w:cs="宋体"/>
          <w:bCs/>
          <w:sz w:val="24"/>
        </w:rPr>
        <w:t>方式</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ind w:firstLine="480"/>
        <w:rPr>
          <w:rFonts w:hint="eastAsia" w:ascii="宋体" w:hAnsi="宋体" w:eastAsia="宋体" w:cs="宋体"/>
          <w:sz w:val="24"/>
          <w:u w:val="single"/>
        </w:rPr>
      </w:pPr>
      <w:r>
        <w:rPr>
          <w:rFonts w:hint="eastAsia" w:ascii="宋体" w:hAnsi="宋体" w:eastAsia="宋体" w:cs="宋体"/>
          <w:sz w:val="24"/>
        </w:rPr>
        <w:t xml:space="preserve"> (3)承包人实际使用量小于合理数量时节约的费用分配方式：</w:t>
      </w:r>
      <w:r>
        <w:rPr>
          <w:rFonts w:hint="eastAsia" w:ascii="宋体" w:hAnsi="宋体" w:eastAsia="宋体" w:cs="宋体"/>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pStyle w:val="3"/>
        <w:numPr>
          <w:ilvl w:val="0"/>
          <w:numId w:val="0"/>
        </w:numPr>
        <w:tabs>
          <w:tab w:val="left" w:pos="540"/>
          <w:tab w:val="left" w:pos="900"/>
          <w:tab w:val="left" w:pos="2340"/>
        </w:tabs>
        <w:spacing w:before="120" w:after="156"/>
        <w:ind w:left="359"/>
        <w:jc w:val="left"/>
        <w:rPr>
          <w:rFonts w:hint="eastAsia" w:ascii="宋体" w:hAnsi="宋体" w:eastAsia="宋体" w:cs="宋体"/>
          <w:sz w:val="24"/>
        </w:rPr>
      </w:pPr>
      <w:bookmarkStart w:id="1490" w:name="_Toc305331475"/>
      <w:bookmarkStart w:id="1491" w:name="_Toc67418772"/>
      <w:bookmarkStart w:id="1492" w:name="_Toc23687"/>
      <w:bookmarkStart w:id="1493" w:name="_Toc302635992"/>
      <w:r>
        <w:rPr>
          <w:rFonts w:hint="eastAsia" w:ascii="宋体" w:hAnsi="宋体" w:eastAsia="宋体" w:cs="宋体"/>
          <w:sz w:val="24"/>
        </w:rPr>
        <w:t>14.4 承包人采购材料设备</w:t>
      </w:r>
      <w:bookmarkEnd w:id="1490"/>
      <w:bookmarkEnd w:id="1491"/>
      <w:bookmarkEnd w:id="1492"/>
      <w:bookmarkEnd w:id="1493"/>
    </w:p>
    <w:p>
      <w:pPr>
        <w:spacing w:line="360" w:lineRule="auto"/>
        <w:ind w:firstLine="480"/>
        <w:rPr>
          <w:rFonts w:hint="eastAsia" w:ascii="宋体" w:hAnsi="宋体" w:eastAsia="宋体" w:cs="宋体"/>
          <w:sz w:val="24"/>
          <w:u w:val="single"/>
        </w:rPr>
      </w:pPr>
      <w:r>
        <w:rPr>
          <w:rFonts w:hint="eastAsia" w:ascii="宋体" w:hAnsi="宋体" w:eastAsia="宋体" w:cs="宋体"/>
          <w:sz w:val="24"/>
        </w:rPr>
        <w:t>承包人采购材料设备的约定：</w:t>
      </w:r>
      <w:r>
        <w:rPr>
          <w:rFonts w:hint="eastAsia" w:ascii="宋体" w:hAnsi="宋体" w:eastAsia="宋体" w:cs="宋体"/>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spacing w:line="360" w:lineRule="auto"/>
        <w:jc w:val="center"/>
        <w:rPr>
          <w:rFonts w:hint="eastAsia" w:ascii="宋体" w:hAnsi="宋体" w:eastAsia="宋体" w:cs="宋体"/>
          <w:b/>
          <w:bCs/>
          <w:sz w:val="24"/>
        </w:rPr>
      </w:pPr>
      <w:r>
        <w:rPr>
          <w:rFonts w:hint="eastAsia" w:ascii="宋体" w:hAnsi="宋体" w:eastAsia="宋体" w:cs="宋体"/>
          <w:b/>
          <w:sz w:val="24"/>
        </w:rPr>
        <w:t>主要材料</w:t>
      </w:r>
      <w:r>
        <w:rPr>
          <w:rFonts w:hint="eastAsia" w:ascii="宋体" w:hAnsi="宋体" w:eastAsia="宋体" w:cs="宋体"/>
          <w:b/>
          <w:bCs/>
          <w:sz w:val="24"/>
        </w:rPr>
        <w:t>设备限定品牌范围表</w:t>
      </w:r>
    </w:p>
    <w:tbl>
      <w:tblPr>
        <w:tblStyle w:val="38"/>
        <w:tblW w:w="8594" w:type="dxa"/>
        <w:tblInd w:w="-7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0"/>
        <w:gridCol w:w="2160"/>
        <w:gridCol w:w="571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85"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序号</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主要材料设备名称</w:t>
            </w:r>
          </w:p>
        </w:tc>
        <w:tc>
          <w:tcPr>
            <w:tcW w:w="571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限定品牌范围(不少于三个)</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77"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1</w:t>
            </w:r>
          </w:p>
        </w:tc>
        <w:tc>
          <w:tcPr>
            <w:tcW w:w="2160"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5714"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00"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2</w:t>
            </w:r>
          </w:p>
        </w:tc>
        <w:tc>
          <w:tcPr>
            <w:tcW w:w="2160"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5714"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92"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3</w:t>
            </w:r>
          </w:p>
        </w:tc>
        <w:tc>
          <w:tcPr>
            <w:tcW w:w="2160"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5714"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54"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4</w:t>
            </w:r>
          </w:p>
        </w:tc>
        <w:tc>
          <w:tcPr>
            <w:tcW w:w="2160"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5714"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31"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5</w:t>
            </w:r>
          </w:p>
        </w:tc>
        <w:tc>
          <w:tcPr>
            <w:tcW w:w="2160"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5714"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67"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w:t>
            </w:r>
          </w:p>
        </w:tc>
        <w:tc>
          <w:tcPr>
            <w:tcW w:w="2160"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5714"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r>
    </w:tbl>
    <w:p>
      <w:pPr>
        <w:pStyle w:val="3"/>
        <w:numPr>
          <w:ilvl w:val="0"/>
          <w:numId w:val="0"/>
        </w:numPr>
        <w:tabs>
          <w:tab w:val="left" w:pos="540"/>
          <w:tab w:val="left" w:pos="900"/>
          <w:tab w:val="left" w:pos="2340"/>
        </w:tabs>
        <w:spacing w:before="120" w:after="156"/>
        <w:ind w:left="359"/>
        <w:jc w:val="left"/>
        <w:rPr>
          <w:rFonts w:hint="eastAsia" w:ascii="宋体" w:hAnsi="宋体" w:eastAsia="宋体" w:cs="宋体"/>
          <w:sz w:val="24"/>
        </w:rPr>
      </w:pPr>
      <w:bookmarkStart w:id="1494" w:name="_Toc28563"/>
      <w:bookmarkStart w:id="1495" w:name="_Toc67418773"/>
      <w:bookmarkStart w:id="1496" w:name="_Toc305331476"/>
      <w:bookmarkStart w:id="1497" w:name="_Toc302635993"/>
      <w:r>
        <w:rPr>
          <w:rFonts w:hint="eastAsia" w:ascii="宋体" w:hAnsi="宋体" w:eastAsia="宋体" w:cs="宋体"/>
          <w:sz w:val="24"/>
        </w:rPr>
        <w:t>14.6 材料和工程设备的替代</w:t>
      </w:r>
      <w:bookmarkEnd w:id="1494"/>
      <w:bookmarkEnd w:id="1495"/>
    </w:p>
    <w:p>
      <w:pPr>
        <w:spacing w:line="360" w:lineRule="auto"/>
        <w:ind w:firstLine="480"/>
        <w:jc w:val="left"/>
        <w:rPr>
          <w:rFonts w:hint="eastAsia" w:ascii="宋体" w:hAnsi="宋体" w:eastAsia="宋体" w:cs="宋体"/>
          <w:sz w:val="24"/>
          <w:u w:val="single"/>
        </w:rPr>
      </w:pPr>
      <w:r>
        <w:rPr>
          <w:rFonts w:hint="eastAsia" w:ascii="宋体" w:hAnsi="宋体" w:eastAsia="宋体" w:cs="宋体"/>
          <w:sz w:val="24"/>
        </w:rPr>
        <w:t>(2)承包人需使用替代材料设备应向监理人提出申请的时限：</w:t>
      </w:r>
      <w:r>
        <w:rPr>
          <w:rFonts w:hint="eastAsia" w:ascii="宋体" w:hAnsi="宋体" w:eastAsia="宋体" w:cs="宋体"/>
          <w:sz w:val="24"/>
          <w:u w:val="single"/>
        </w:rPr>
        <w:t xml:space="preserve">              </w:t>
      </w:r>
      <w:r>
        <w:rPr>
          <w:rFonts w:hint="eastAsia" w:ascii="宋体" w:hAnsi="宋体" w:eastAsia="宋体" w:cs="宋体"/>
          <w:sz w:val="24"/>
        </w:rPr>
        <w:t>，监理人应发出书面指示的时限：</w:t>
      </w:r>
      <w:r>
        <w:rPr>
          <w:rFonts w:hint="eastAsia" w:ascii="宋体" w:hAnsi="宋体" w:eastAsia="宋体" w:cs="宋体"/>
          <w:sz w:val="24"/>
          <w:u w:val="single"/>
        </w:rPr>
        <w:t xml:space="preserve">            </w:t>
      </w:r>
      <w:r>
        <w:rPr>
          <w:rFonts w:hint="eastAsia" w:ascii="宋体" w:hAnsi="宋体" w:eastAsia="宋体" w:cs="宋体"/>
          <w:sz w:val="24"/>
        </w:rPr>
        <w:t>；</w:t>
      </w:r>
    </w:p>
    <w:p>
      <w:pPr>
        <w:spacing w:line="360" w:lineRule="auto"/>
        <w:ind w:firstLine="480"/>
        <w:rPr>
          <w:rFonts w:hint="eastAsia" w:ascii="宋体" w:hAnsi="宋体" w:eastAsia="宋体" w:cs="宋体"/>
          <w:sz w:val="24"/>
        </w:rPr>
      </w:pPr>
      <w:r>
        <w:rPr>
          <w:rFonts w:hint="eastAsia" w:ascii="宋体" w:hAnsi="宋体" w:eastAsia="宋体" w:cs="宋体"/>
          <w:sz w:val="24"/>
        </w:rPr>
        <w:t>使用替代材料设备增减合同价格和产生费用的承担方式：</w:t>
      </w:r>
      <w:r>
        <w:rPr>
          <w:rFonts w:hint="eastAsia" w:ascii="宋体" w:hAnsi="宋体" w:eastAsia="宋体" w:cs="宋体"/>
          <w:sz w:val="24"/>
          <w:u w:val="single"/>
        </w:rPr>
        <w:t xml:space="preserve">               </w:t>
      </w:r>
      <w:r>
        <w:rPr>
          <w:rFonts w:hint="eastAsia" w:ascii="宋体" w:hAnsi="宋体" w:eastAsia="宋体" w:cs="宋体"/>
          <w:sz w:val="24"/>
        </w:rPr>
        <w:t>；</w:t>
      </w:r>
    </w:p>
    <w:p>
      <w:pPr>
        <w:pStyle w:val="3"/>
        <w:numPr>
          <w:ilvl w:val="0"/>
          <w:numId w:val="0"/>
        </w:numPr>
        <w:tabs>
          <w:tab w:val="left" w:pos="540"/>
          <w:tab w:val="left" w:pos="900"/>
          <w:tab w:val="left" w:pos="2340"/>
        </w:tabs>
        <w:spacing w:before="120" w:after="156"/>
        <w:ind w:left="359"/>
        <w:jc w:val="left"/>
        <w:rPr>
          <w:rFonts w:hint="eastAsia" w:ascii="宋体" w:hAnsi="宋体" w:eastAsia="宋体" w:cs="宋体"/>
          <w:sz w:val="24"/>
        </w:rPr>
      </w:pPr>
      <w:bookmarkStart w:id="1498" w:name="_Toc67418774"/>
      <w:bookmarkStart w:id="1499" w:name="_Toc9962"/>
      <w:r>
        <w:rPr>
          <w:rFonts w:hint="eastAsia" w:ascii="宋体" w:hAnsi="宋体" w:eastAsia="宋体" w:cs="宋体"/>
          <w:sz w:val="24"/>
        </w:rPr>
        <w:t>14.7 材料设备的检验</w:t>
      </w:r>
      <w:bookmarkEnd w:id="1496"/>
      <w:bookmarkEnd w:id="1497"/>
      <w:bookmarkEnd w:id="1498"/>
      <w:bookmarkEnd w:id="1499"/>
    </w:p>
    <w:p>
      <w:pPr>
        <w:spacing w:line="360" w:lineRule="auto"/>
        <w:ind w:firstLine="480"/>
        <w:rPr>
          <w:rFonts w:hint="eastAsia" w:ascii="宋体" w:hAnsi="宋体" w:eastAsia="宋体" w:cs="宋体"/>
          <w:sz w:val="24"/>
        </w:rPr>
      </w:pPr>
      <w:r>
        <w:rPr>
          <w:rFonts w:hint="eastAsia" w:ascii="宋体" w:hAnsi="宋体" w:eastAsia="宋体" w:cs="宋体"/>
          <w:sz w:val="24"/>
        </w:rPr>
        <w:t>(1)用于本工程的材料设备的检验要求：</w:t>
      </w:r>
      <w:r>
        <w:rPr>
          <w:rFonts w:hint="eastAsia" w:ascii="宋体" w:hAnsi="宋体" w:eastAsia="宋体" w:cs="宋体"/>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spacing w:line="360" w:lineRule="auto"/>
        <w:ind w:firstLine="480"/>
        <w:rPr>
          <w:rFonts w:hint="eastAsia" w:ascii="宋体" w:hAnsi="宋体" w:eastAsia="宋体" w:cs="宋体"/>
          <w:sz w:val="24"/>
        </w:rPr>
      </w:pPr>
      <w:r>
        <w:rPr>
          <w:rFonts w:hint="eastAsia" w:ascii="宋体" w:hAnsi="宋体" w:eastAsia="宋体" w:cs="宋体"/>
          <w:sz w:val="24"/>
        </w:rPr>
        <w:t>本工程的材料设备检验机构为：</w:t>
      </w:r>
      <w:r>
        <w:rPr>
          <w:rFonts w:hint="eastAsia" w:ascii="宋体" w:hAnsi="宋体" w:eastAsia="宋体" w:cs="宋体"/>
          <w:sz w:val="24"/>
          <w:u w:val="single"/>
        </w:rPr>
        <w:t xml:space="preserve">                                            </w:t>
      </w:r>
    </w:p>
    <w:p>
      <w:pPr>
        <w:pStyle w:val="2"/>
        <w:keepNext w:val="0"/>
        <w:keepLines w:val="0"/>
        <w:numPr>
          <w:ilvl w:val="0"/>
          <w:numId w:val="0"/>
        </w:numPr>
        <w:tabs>
          <w:tab w:val="left" w:pos="540"/>
          <w:tab w:val="left" w:pos="1620"/>
          <w:tab w:val="left" w:pos="2340"/>
        </w:tabs>
        <w:spacing w:before="120" w:after="120"/>
        <w:ind w:left="178"/>
        <w:rPr>
          <w:rFonts w:hint="eastAsia" w:ascii="宋体" w:hAnsi="宋体" w:eastAsia="宋体" w:cs="宋体"/>
        </w:rPr>
      </w:pPr>
      <w:bookmarkStart w:id="1500" w:name="_Toc67418775"/>
      <w:bookmarkStart w:id="1501" w:name="_Toc16737"/>
      <w:bookmarkStart w:id="1502" w:name="_Toc302635994"/>
      <w:bookmarkStart w:id="1503" w:name="_Toc305331477"/>
      <w:r>
        <w:rPr>
          <w:rFonts w:hint="eastAsia" w:ascii="宋体" w:hAnsi="宋体" w:eastAsia="宋体" w:cs="宋体"/>
        </w:rPr>
        <w:t>15 工程质量和检测</w:t>
      </w:r>
      <w:bookmarkEnd w:id="1500"/>
      <w:bookmarkEnd w:id="1501"/>
      <w:bookmarkEnd w:id="1502"/>
      <w:bookmarkEnd w:id="1503"/>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504" w:name="_Toc302635995"/>
      <w:bookmarkStart w:id="1505" w:name="_Toc305331478"/>
      <w:bookmarkStart w:id="1506" w:name="_Toc15031"/>
      <w:bookmarkStart w:id="1507" w:name="_Toc67418776"/>
      <w:r>
        <w:rPr>
          <w:rFonts w:hint="eastAsia" w:ascii="宋体" w:hAnsi="宋体" w:eastAsia="宋体" w:cs="宋体"/>
          <w:sz w:val="24"/>
        </w:rPr>
        <w:t>15.7 工程质量</w:t>
      </w:r>
      <w:bookmarkEnd w:id="1504"/>
      <w:bookmarkEnd w:id="1505"/>
      <w:r>
        <w:rPr>
          <w:rFonts w:hint="eastAsia" w:ascii="宋体" w:hAnsi="宋体" w:eastAsia="宋体" w:cs="宋体"/>
          <w:sz w:val="24"/>
        </w:rPr>
        <w:t>检测费用</w:t>
      </w:r>
      <w:bookmarkEnd w:id="1506"/>
      <w:bookmarkEnd w:id="1507"/>
    </w:p>
    <w:p>
      <w:pPr>
        <w:spacing w:line="360" w:lineRule="auto"/>
        <w:ind w:firstLine="480"/>
        <w:rPr>
          <w:rFonts w:hint="eastAsia" w:ascii="宋体" w:hAnsi="宋体" w:eastAsia="宋体" w:cs="宋体"/>
          <w:sz w:val="24"/>
        </w:rPr>
      </w:pPr>
      <w:r>
        <w:rPr>
          <w:rFonts w:hint="eastAsia" w:ascii="宋体" w:hAnsi="宋体" w:eastAsia="宋体" w:cs="宋体"/>
          <w:sz w:val="24"/>
        </w:rPr>
        <w:t>本工程质量检验检测项目包括：</w:t>
      </w:r>
      <w:r>
        <w:rPr>
          <w:rFonts w:hint="eastAsia" w:ascii="宋体" w:hAnsi="宋体" w:eastAsia="宋体" w:cs="宋体"/>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pStyle w:val="2"/>
        <w:keepNext w:val="0"/>
        <w:keepLines w:val="0"/>
        <w:numPr>
          <w:ilvl w:val="0"/>
          <w:numId w:val="0"/>
        </w:numPr>
        <w:tabs>
          <w:tab w:val="left" w:pos="540"/>
          <w:tab w:val="left" w:pos="1620"/>
          <w:tab w:val="left" w:pos="2340"/>
        </w:tabs>
        <w:spacing w:before="120" w:after="120"/>
        <w:ind w:left="178"/>
        <w:rPr>
          <w:rFonts w:hint="eastAsia" w:ascii="宋体" w:hAnsi="宋体" w:eastAsia="宋体" w:cs="宋体"/>
        </w:rPr>
      </w:pPr>
      <w:bookmarkStart w:id="1508" w:name="_Toc302635996"/>
      <w:bookmarkStart w:id="1509" w:name="_Toc67418777"/>
      <w:bookmarkStart w:id="1510" w:name="_Toc5622"/>
      <w:bookmarkStart w:id="1511" w:name="_Toc305331479"/>
      <w:r>
        <w:rPr>
          <w:rFonts w:hint="eastAsia" w:ascii="宋体" w:hAnsi="宋体" w:eastAsia="宋体" w:cs="宋体"/>
        </w:rPr>
        <w:t>16 工程试运行</w:t>
      </w:r>
      <w:bookmarkEnd w:id="1508"/>
      <w:bookmarkEnd w:id="1509"/>
      <w:bookmarkEnd w:id="1510"/>
      <w:bookmarkEnd w:id="1511"/>
    </w:p>
    <w:p>
      <w:pPr>
        <w:pStyle w:val="3"/>
        <w:numPr>
          <w:ilvl w:val="0"/>
          <w:numId w:val="0"/>
        </w:numPr>
        <w:tabs>
          <w:tab w:val="left" w:pos="540"/>
          <w:tab w:val="left" w:pos="900"/>
          <w:tab w:val="left" w:pos="2340"/>
        </w:tabs>
        <w:spacing w:before="120" w:after="156"/>
        <w:ind w:left="359"/>
        <w:jc w:val="left"/>
        <w:rPr>
          <w:rFonts w:hint="eastAsia" w:ascii="宋体" w:hAnsi="宋体" w:eastAsia="宋体" w:cs="宋体"/>
          <w:sz w:val="24"/>
        </w:rPr>
      </w:pPr>
      <w:bookmarkStart w:id="1512" w:name="_Toc302635997"/>
      <w:bookmarkStart w:id="1513" w:name="_Toc305331480"/>
      <w:bookmarkStart w:id="1514" w:name="_Toc2592"/>
      <w:bookmarkStart w:id="1515" w:name="_Toc67418778"/>
      <w:r>
        <w:rPr>
          <w:rFonts w:hint="eastAsia" w:ascii="宋体" w:hAnsi="宋体" w:eastAsia="宋体" w:cs="宋体"/>
          <w:sz w:val="24"/>
        </w:rPr>
        <w:t>16.1 工程试运行内容和程序</w:t>
      </w:r>
      <w:bookmarkEnd w:id="1512"/>
      <w:bookmarkEnd w:id="1513"/>
      <w:bookmarkEnd w:id="1514"/>
      <w:bookmarkEnd w:id="1515"/>
    </w:p>
    <w:p>
      <w:pPr>
        <w:spacing w:line="360" w:lineRule="auto"/>
        <w:ind w:firstLine="480"/>
        <w:rPr>
          <w:rFonts w:hint="eastAsia" w:ascii="宋体" w:hAnsi="宋体" w:eastAsia="宋体" w:cs="宋体"/>
          <w:sz w:val="24"/>
          <w:u w:val="single"/>
        </w:rPr>
      </w:pPr>
      <w:r>
        <w:rPr>
          <w:rFonts w:hint="eastAsia" w:ascii="宋体" w:hAnsi="宋体" w:eastAsia="宋体" w:cs="宋体"/>
          <w:sz w:val="24"/>
        </w:rPr>
        <w:t>工程试运行的内容及其费用承担方式：</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pStyle w:val="2"/>
        <w:keepNext w:val="0"/>
        <w:keepLines w:val="0"/>
        <w:numPr>
          <w:ilvl w:val="0"/>
          <w:numId w:val="0"/>
        </w:numPr>
        <w:tabs>
          <w:tab w:val="left" w:pos="540"/>
          <w:tab w:val="left" w:pos="1620"/>
          <w:tab w:val="left" w:pos="2340"/>
        </w:tabs>
        <w:spacing w:before="120" w:after="120"/>
        <w:ind w:left="178"/>
        <w:rPr>
          <w:rFonts w:hint="eastAsia" w:ascii="宋体" w:hAnsi="宋体" w:eastAsia="宋体" w:cs="宋体"/>
        </w:rPr>
      </w:pPr>
      <w:bookmarkStart w:id="1516" w:name="_Toc305331481"/>
      <w:bookmarkStart w:id="1517" w:name="_Toc302635998"/>
      <w:bookmarkStart w:id="1518" w:name="_Toc18655"/>
      <w:bookmarkStart w:id="1519" w:name="_Toc67418779"/>
      <w:r>
        <w:rPr>
          <w:rFonts w:hint="eastAsia" w:ascii="宋体" w:hAnsi="宋体" w:eastAsia="宋体" w:cs="宋体"/>
        </w:rPr>
        <w:t>17 安全文明施工</w:t>
      </w:r>
      <w:bookmarkEnd w:id="1516"/>
      <w:bookmarkEnd w:id="1517"/>
      <w:bookmarkEnd w:id="1518"/>
      <w:bookmarkEnd w:id="1519"/>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520" w:name="_Toc67418780"/>
      <w:bookmarkStart w:id="1521" w:name="_Toc29723"/>
      <w:bookmarkStart w:id="1522" w:name="_Toc305331482"/>
      <w:bookmarkStart w:id="1523" w:name="_Toc302635999"/>
      <w:r>
        <w:rPr>
          <w:rFonts w:hint="eastAsia" w:ascii="宋体" w:hAnsi="宋体" w:eastAsia="宋体" w:cs="宋体"/>
          <w:sz w:val="24"/>
        </w:rPr>
        <w:t>17.1发包人的安全文明施工责任</w:t>
      </w:r>
      <w:bookmarkEnd w:id="1520"/>
      <w:bookmarkEnd w:id="1521"/>
    </w:p>
    <w:p>
      <w:pPr>
        <w:spacing w:line="360" w:lineRule="auto"/>
        <w:ind w:firstLine="600" w:firstLineChars="250"/>
        <w:rPr>
          <w:rFonts w:hint="eastAsia" w:ascii="宋体" w:hAnsi="宋体" w:eastAsia="宋体" w:cs="宋体"/>
          <w:bCs/>
          <w:sz w:val="24"/>
          <w:u w:val="single"/>
        </w:rPr>
      </w:pPr>
      <w:r>
        <w:rPr>
          <w:rFonts w:hint="eastAsia" w:ascii="宋体" w:hAnsi="宋体" w:eastAsia="宋体" w:cs="宋体"/>
          <w:snapToGrid w:val="0"/>
          <w:sz w:val="24"/>
        </w:rPr>
        <w:t>(6)发包人应承担的安全文明施工责任：</w:t>
      </w:r>
      <w:r>
        <w:rPr>
          <w:rFonts w:hint="eastAsia" w:ascii="宋体" w:hAnsi="宋体" w:eastAsia="宋体" w:cs="宋体"/>
          <w:sz w:val="24"/>
        </w:rPr>
        <w:t xml:space="preserve"> </w:t>
      </w: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524" w:name="_Toc9262"/>
      <w:bookmarkStart w:id="1525" w:name="_Toc67418781"/>
      <w:r>
        <w:rPr>
          <w:rFonts w:hint="eastAsia" w:ascii="宋体" w:hAnsi="宋体" w:eastAsia="宋体" w:cs="宋体"/>
          <w:sz w:val="24"/>
        </w:rPr>
        <w:t>17.2 承包人的安全文明施工责任</w:t>
      </w:r>
      <w:bookmarkEnd w:id="1522"/>
      <w:bookmarkEnd w:id="1523"/>
      <w:bookmarkEnd w:id="1524"/>
      <w:bookmarkEnd w:id="1525"/>
    </w:p>
    <w:p>
      <w:pPr>
        <w:tabs>
          <w:tab w:val="left" w:pos="1620"/>
          <w:tab w:val="left" w:pos="2340"/>
        </w:tabs>
        <w:spacing w:line="360" w:lineRule="auto"/>
        <w:ind w:firstLine="480"/>
        <w:rPr>
          <w:rFonts w:hint="eastAsia" w:ascii="宋体" w:hAnsi="宋体" w:eastAsia="宋体" w:cs="宋体"/>
          <w:sz w:val="24"/>
          <w:u w:val="single"/>
        </w:rPr>
      </w:pPr>
      <w:r>
        <w:rPr>
          <w:rFonts w:hint="eastAsia" w:ascii="宋体" w:hAnsi="宋体" w:eastAsia="宋体" w:cs="宋体"/>
          <w:bCs/>
          <w:snapToGrid w:val="0"/>
          <w:sz w:val="24"/>
        </w:rPr>
        <w:t>(9)承包人应承担的安全文明施工责任：</w:t>
      </w:r>
      <w:r>
        <w:rPr>
          <w:rFonts w:hint="eastAsia" w:ascii="宋体" w:hAnsi="宋体" w:eastAsia="宋体" w:cs="宋体"/>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526" w:name="_Toc67418782"/>
      <w:bookmarkStart w:id="1527" w:name="_Toc9927"/>
      <w:bookmarkStart w:id="1528" w:name="_Toc302636000"/>
      <w:bookmarkStart w:id="1529" w:name="_Toc305331483"/>
      <w:r>
        <w:rPr>
          <w:rFonts w:hint="eastAsia" w:ascii="宋体" w:hAnsi="宋体" w:eastAsia="宋体" w:cs="宋体"/>
          <w:sz w:val="24"/>
        </w:rPr>
        <w:t>17.8 承包人的环境保护责任</w:t>
      </w:r>
      <w:bookmarkEnd w:id="1526"/>
      <w:bookmarkEnd w:id="1527"/>
    </w:p>
    <w:p>
      <w:pPr>
        <w:tabs>
          <w:tab w:val="left" w:pos="1620"/>
          <w:tab w:val="left" w:pos="2340"/>
        </w:tabs>
        <w:spacing w:line="360" w:lineRule="auto"/>
        <w:ind w:firstLine="480"/>
        <w:rPr>
          <w:rFonts w:hint="eastAsia" w:ascii="宋体" w:hAnsi="宋体" w:eastAsia="宋体" w:cs="宋体"/>
          <w:bCs/>
          <w:sz w:val="24"/>
          <w:u w:val="single"/>
        </w:rPr>
      </w:pPr>
      <w:r>
        <w:rPr>
          <w:rFonts w:hint="eastAsia" w:ascii="宋体" w:hAnsi="宋体" w:eastAsia="宋体" w:cs="宋体"/>
          <w:sz w:val="24"/>
        </w:rPr>
        <w:t>(1)建筑废弃物排放的具体约定：</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pStyle w:val="2"/>
        <w:keepNext w:val="0"/>
        <w:keepLines w:val="0"/>
        <w:numPr>
          <w:ilvl w:val="0"/>
          <w:numId w:val="0"/>
        </w:numPr>
        <w:tabs>
          <w:tab w:val="left" w:pos="540"/>
          <w:tab w:val="left" w:pos="1620"/>
          <w:tab w:val="left" w:pos="2340"/>
        </w:tabs>
        <w:spacing w:before="120" w:after="120"/>
        <w:ind w:left="178"/>
        <w:rPr>
          <w:rFonts w:hint="eastAsia" w:ascii="宋体" w:hAnsi="宋体" w:eastAsia="宋体" w:cs="宋体"/>
        </w:rPr>
      </w:pPr>
      <w:bookmarkStart w:id="1530" w:name="_Toc67418783"/>
      <w:bookmarkStart w:id="1531" w:name="_Toc15730"/>
      <w:r>
        <w:rPr>
          <w:rFonts w:hint="eastAsia" w:ascii="宋体" w:hAnsi="宋体" w:eastAsia="宋体" w:cs="宋体"/>
        </w:rPr>
        <w:t>18 余泥渣土运输</w:t>
      </w:r>
      <w:bookmarkEnd w:id="1528"/>
      <w:bookmarkEnd w:id="1529"/>
      <w:bookmarkEnd w:id="1530"/>
      <w:bookmarkEnd w:id="1531"/>
    </w:p>
    <w:p>
      <w:pPr>
        <w:pStyle w:val="3"/>
        <w:numPr>
          <w:ilvl w:val="0"/>
          <w:numId w:val="0"/>
        </w:numPr>
        <w:tabs>
          <w:tab w:val="left" w:pos="540"/>
          <w:tab w:val="left" w:pos="900"/>
          <w:tab w:val="left" w:pos="2340"/>
        </w:tabs>
        <w:spacing w:before="120" w:after="156"/>
        <w:ind w:left="359"/>
        <w:jc w:val="left"/>
        <w:rPr>
          <w:rFonts w:hint="eastAsia" w:ascii="宋体" w:hAnsi="宋体" w:eastAsia="宋体" w:cs="宋体"/>
          <w:sz w:val="24"/>
        </w:rPr>
      </w:pPr>
      <w:bookmarkStart w:id="1532" w:name="_Toc5501"/>
      <w:bookmarkStart w:id="1533" w:name="_Toc302636001"/>
      <w:bookmarkStart w:id="1534" w:name="_Toc67418784"/>
      <w:bookmarkStart w:id="1535" w:name="_Toc305331484"/>
      <w:bookmarkStart w:id="1536" w:name="_Toc35656540"/>
      <w:r>
        <w:rPr>
          <w:rFonts w:hint="eastAsia" w:ascii="宋体" w:hAnsi="宋体" w:eastAsia="宋体" w:cs="宋体"/>
          <w:sz w:val="24"/>
        </w:rPr>
        <w:t>18.2 承包人自行运输</w:t>
      </w:r>
      <w:bookmarkEnd w:id="1532"/>
      <w:bookmarkEnd w:id="1533"/>
      <w:bookmarkEnd w:id="1534"/>
      <w:bookmarkEnd w:id="1535"/>
    </w:p>
    <w:p>
      <w:pPr>
        <w:spacing w:line="360" w:lineRule="auto"/>
        <w:ind w:firstLine="480"/>
        <w:jc w:val="left"/>
        <w:rPr>
          <w:rFonts w:hint="eastAsia" w:ascii="宋体" w:hAnsi="宋体" w:eastAsia="宋体" w:cs="宋体"/>
          <w:sz w:val="24"/>
        </w:rPr>
      </w:pPr>
      <w:r>
        <w:rPr>
          <w:rFonts w:hint="eastAsia" w:ascii="宋体" w:hAnsi="宋体" w:eastAsia="宋体" w:cs="宋体"/>
          <w:sz w:val="24"/>
        </w:rPr>
        <w:t>(2)承包人不具备通用条款第18.1款相关证件，不具备余泥渣土运输任务能力而自行承担余泥渣土运输任务，应支付违约金</w:t>
      </w:r>
      <w:r>
        <w:rPr>
          <w:rFonts w:hint="eastAsia" w:ascii="宋体" w:hAnsi="宋体" w:eastAsia="宋体" w:cs="宋体"/>
          <w:sz w:val="24"/>
          <w:u w:val="single"/>
        </w:rPr>
        <w:t xml:space="preserve">               </w:t>
      </w:r>
      <w:r>
        <w:rPr>
          <w:rFonts w:hint="eastAsia" w:ascii="宋体" w:hAnsi="宋体" w:eastAsia="宋体" w:cs="宋体"/>
          <w:sz w:val="24"/>
        </w:rPr>
        <w:t>。</w:t>
      </w:r>
    </w:p>
    <w:p>
      <w:pPr>
        <w:pStyle w:val="3"/>
        <w:numPr>
          <w:ilvl w:val="0"/>
          <w:numId w:val="0"/>
        </w:numPr>
        <w:tabs>
          <w:tab w:val="left" w:pos="540"/>
          <w:tab w:val="left" w:pos="900"/>
          <w:tab w:val="left" w:pos="2340"/>
        </w:tabs>
        <w:spacing w:before="120" w:after="156"/>
        <w:ind w:left="359"/>
        <w:jc w:val="left"/>
        <w:rPr>
          <w:rFonts w:hint="eastAsia" w:ascii="宋体" w:hAnsi="宋体" w:eastAsia="宋体" w:cs="宋体"/>
          <w:sz w:val="24"/>
        </w:rPr>
      </w:pPr>
      <w:bookmarkStart w:id="1537" w:name="_Toc302636002"/>
      <w:bookmarkStart w:id="1538" w:name="_Toc4842"/>
      <w:bookmarkStart w:id="1539" w:name="_Toc67418785"/>
      <w:bookmarkStart w:id="1540" w:name="_Toc305331485"/>
      <w:r>
        <w:rPr>
          <w:rFonts w:hint="eastAsia" w:ascii="宋体" w:hAnsi="宋体" w:eastAsia="宋体" w:cs="宋体"/>
          <w:sz w:val="24"/>
        </w:rPr>
        <w:t>18.3 余泥渣土运输分包</w:t>
      </w:r>
      <w:bookmarkEnd w:id="1537"/>
      <w:bookmarkEnd w:id="1538"/>
      <w:bookmarkEnd w:id="1539"/>
    </w:p>
    <w:p>
      <w:pPr>
        <w:spacing w:line="360" w:lineRule="auto"/>
        <w:ind w:firstLine="480"/>
        <w:rPr>
          <w:rFonts w:hint="eastAsia" w:ascii="宋体" w:hAnsi="宋体" w:eastAsia="宋体" w:cs="宋体"/>
          <w:sz w:val="24"/>
        </w:rPr>
      </w:pPr>
      <w:r>
        <w:rPr>
          <w:rFonts w:hint="eastAsia" w:ascii="宋体" w:hAnsi="宋体" w:eastAsia="宋体" w:cs="宋体"/>
          <w:sz w:val="24"/>
        </w:rPr>
        <w:t>(3)承包人将余泥渣土运输任务分包给不具备相应运输资质的单位时，应支付违约金</w:t>
      </w:r>
      <w:r>
        <w:rPr>
          <w:rFonts w:hint="eastAsia" w:ascii="宋体" w:hAnsi="宋体" w:eastAsia="宋体" w:cs="宋体"/>
          <w:sz w:val="24"/>
          <w:u w:val="single"/>
        </w:rPr>
        <w:t xml:space="preserve">               </w:t>
      </w:r>
      <w:r>
        <w:rPr>
          <w:rFonts w:hint="eastAsia" w:ascii="宋体" w:hAnsi="宋体" w:eastAsia="宋体" w:cs="宋体"/>
          <w:sz w:val="24"/>
        </w:rPr>
        <w:t>。</w:t>
      </w:r>
    </w:p>
    <w:p>
      <w:pPr>
        <w:pStyle w:val="3"/>
        <w:numPr>
          <w:ilvl w:val="0"/>
          <w:numId w:val="0"/>
        </w:numPr>
        <w:tabs>
          <w:tab w:val="left" w:pos="540"/>
          <w:tab w:val="left" w:pos="900"/>
          <w:tab w:val="left" w:pos="2340"/>
        </w:tabs>
        <w:spacing w:before="120" w:after="156"/>
        <w:ind w:left="359"/>
        <w:jc w:val="left"/>
        <w:rPr>
          <w:rFonts w:hint="eastAsia" w:ascii="宋体" w:hAnsi="宋体" w:eastAsia="宋体" w:cs="宋体"/>
          <w:sz w:val="24"/>
        </w:rPr>
      </w:pPr>
      <w:bookmarkStart w:id="1541" w:name="_Toc302636003"/>
      <w:bookmarkStart w:id="1542" w:name="_Toc15588"/>
      <w:bookmarkStart w:id="1543" w:name="_Toc67418786"/>
      <w:r>
        <w:rPr>
          <w:rFonts w:hint="eastAsia" w:ascii="宋体" w:hAnsi="宋体" w:eastAsia="宋体" w:cs="宋体"/>
          <w:sz w:val="24"/>
        </w:rPr>
        <w:t>18.5 余泥渣土运输车辆和</w:t>
      </w:r>
      <w:bookmarkEnd w:id="1540"/>
      <w:r>
        <w:rPr>
          <w:rFonts w:hint="eastAsia" w:ascii="宋体" w:hAnsi="宋体" w:eastAsia="宋体" w:cs="宋体"/>
          <w:sz w:val="24"/>
        </w:rPr>
        <w:t>驾驶员</w:t>
      </w:r>
      <w:bookmarkEnd w:id="1541"/>
      <w:bookmarkEnd w:id="1542"/>
      <w:bookmarkEnd w:id="1543"/>
    </w:p>
    <w:p>
      <w:pPr>
        <w:spacing w:line="360" w:lineRule="auto"/>
        <w:ind w:firstLine="480"/>
        <w:jc w:val="left"/>
        <w:rPr>
          <w:rFonts w:hint="eastAsia" w:ascii="宋体" w:hAnsi="宋体" w:eastAsia="宋体" w:cs="宋体"/>
          <w:sz w:val="24"/>
        </w:rPr>
      </w:pPr>
      <w:r>
        <w:rPr>
          <w:rFonts w:hint="eastAsia" w:ascii="宋体" w:hAnsi="宋体" w:eastAsia="宋体" w:cs="宋体"/>
          <w:sz w:val="24"/>
        </w:rPr>
        <w:t>(2)在承包人按通用条款第18.2款自行完成余泥渣土运输任务时，其安排的余泥渣土运输车辆和驾驶员有关信息见下表</w:t>
      </w:r>
      <w:r>
        <w:rPr>
          <w:rFonts w:hint="eastAsia" w:ascii="宋体" w:hAnsi="宋体" w:eastAsia="宋体" w:cs="宋体"/>
          <w:bCs/>
          <w:sz w:val="24"/>
        </w:rPr>
        <w:t>(可另附页)</w:t>
      </w:r>
      <w:r>
        <w:rPr>
          <w:rFonts w:hint="eastAsia" w:ascii="宋体" w:hAnsi="宋体" w:eastAsia="宋体" w:cs="宋体"/>
          <w:sz w:val="24"/>
        </w:rPr>
        <w:t>：</w:t>
      </w:r>
    </w:p>
    <w:tbl>
      <w:tblPr>
        <w:tblStyle w:val="38"/>
        <w:tblW w:w="855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62"/>
        <w:gridCol w:w="1315"/>
        <w:gridCol w:w="1315"/>
        <w:gridCol w:w="1316"/>
        <w:gridCol w:w="1315"/>
        <w:gridCol w:w="1315"/>
        <w:gridCol w:w="131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85" w:hRule="atLeast"/>
        </w:trPr>
        <w:tc>
          <w:tcPr>
            <w:tcW w:w="662"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107" w:right="-107"/>
              <w:jc w:val="center"/>
              <w:rPr>
                <w:rFonts w:hint="eastAsia" w:ascii="宋体" w:hAnsi="宋体" w:eastAsia="宋体" w:cs="宋体"/>
                <w:sz w:val="24"/>
              </w:rPr>
            </w:pPr>
            <w:r>
              <w:rPr>
                <w:rFonts w:hint="eastAsia" w:ascii="宋体" w:hAnsi="宋体" w:eastAsia="宋体" w:cs="宋体"/>
                <w:sz w:val="24"/>
              </w:rPr>
              <w:t>序号</w:t>
            </w:r>
          </w:p>
        </w:tc>
        <w:tc>
          <w:tcPr>
            <w:tcW w:w="1315"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107" w:right="-107"/>
              <w:jc w:val="center"/>
              <w:rPr>
                <w:rFonts w:hint="eastAsia" w:ascii="宋体" w:hAnsi="宋体" w:eastAsia="宋体" w:cs="宋体"/>
                <w:sz w:val="24"/>
              </w:rPr>
            </w:pPr>
            <w:r>
              <w:rPr>
                <w:rFonts w:hint="eastAsia" w:ascii="宋体" w:hAnsi="宋体" w:eastAsia="宋体" w:cs="宋体"/>
                <w:sz w:val="24"/>
              </w:rPr>
              <w:t>车牌号码</w:t>
            </w:r>
          </w:p>
        </w:tc>
        <w:tc>
          <w:tcPr>
            <w:tcW w:w="1315"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107" w:right="-107"/>
              <w:jc w:val="center"/>
              <w:rPr>
                <w:rFonts w:hint="eastAsia" w:ascii="宋体" w:hAnsi="宋体" w:eastAsia="宋体" w:cs="宋体"/>
                <w:sz w:val="24"/>
              </w:rPr>
            </w:pPr>
            <w:r>
              <w:rPr>
                <w:rFonts w:hint="eastAsia" w:ascii="宋体" w:hAnsi="宋体" w:eastAsia="宋体" w:cs="宋体"/>
                <w:sz w:val="24"/>
              </w:rPr>
              <w:t>车型</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107" w:right="-107"/>
              <w:jc w:val="center"/>
              <w:rPr>
                <w:rFonts w:hint="eastAsia" w:ascii="宋体" w:hAnsi="宋体" w:eastAsia="宋体" w:cs="宋体"/>
                <w:sz w:val="24"/>
              </w:rPr>
            </w:pPr>
            <w:r>
              <w:rPr>
                <w:rFonts w:hint="eastAsia" w:ascii="宋体" w:hAnsi="宋体" w:eastAsia="宋体" w:cs="宋体"/>
                <w:sz w:val="24"/>
              </w:rPr>
              <w:t>车辆证件号</w:t>
            </w:r>
          </w:p>
        </w:tc>
        <w:tc>
          <w:tcPr>
            <w:tcW w:w="1315"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107" w:right="-107"/>
              <w:jc w:val="center"/>
              <w:rPr>
                <w:rFonts w:hint="eastAsia" w:ascii="宋体" w:hAnsi="宋体" w:eastAsia="宋体" w:cs="宋体"/>
                <w:sz w:val="24"/>
              </w:rPr>
            </w:pPr>
            <w:r>
              <w:rPr>
                <w:rFonts w:hint="eastAsia" w:ascii="宋体" w:hAnsi="宋体" w:eastAsia="宋体" w:cs="宋体"/>
                <w:sz w:val="24"/>
              </w:rPr>
              <w:t>驾驶员姓名</w:t>
            </w:r>
          </w:p>
        </w:tc>
        <w:tc>
          <w:tcPr>
            <w:tcW w:w="1315"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107" w:right="-107"/>
              <w:jc w:val="center"/>
              <w:rPr>
                <w:rFonts w:hint="eastAsia" w:ascii="宋体" w:hAnsi="宋体" w:eastAsia="宋体" w:cs="宋体"/>
                <w:sz w:val="24"/>
              </w:rPr>
            </w:pPr>
            <w:r>
              <w:rPr>
                <w:rFonts w:hint="eastAsia" w:ascii="宋体" w:hAnsi="宋体" w:eastAsia="宋体" w:cs="宋体"/>
                <w:sz w:val="24"/>
              </w:rPr>
              <w:t>驾驶证件号</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right="-107"/>
              <w:jc w:val="center"/>
              <w:rPr>
                <w:rFonts w:hint="eastAsia" w:ascii="宋体" w:hAnsi="宋体" w:eastAsia="宋体" w:cs="宋体"/>
                <w:sz w:val="24"/>
              </w:rPr>
            </w:pPr>
            <w:r>
              <w:rPr>
                <w:rFonts w:hint="eastAsia" w:ascii="宋体" w:hAnsi="宋体" w:eastAsia="宋体" w:cs="宋体"/>
                <w:sz w:val="24"/>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77" w:hRule="atLeast"/>
        </w:trPr>
        <w:tc>
          <w:tcPr>
            <w:tcW w:w="66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1</w:t>
            </w: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6"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6"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00" w:hRule="atLeast"/>
        </w:trPr>
        <w:tc>
          <w:tcPr>
            <w:tcW w:w="66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2</w:t>
            </w: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6"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6"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92" w:hRule="atLeast"/>
        </w:trPr>
        <w:tc>
          <w:tcPr>
            <w:tcW w:w="66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3</w:t>
            </w: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6"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6"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92" w:hRule="atLeast"/>
        </w:trPr>
        <w:tc>
          <w:tcPr>
            <w:tcW w:w="66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4</w:t>
            </w: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6"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6"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92" w:hRule="atLeast"/>
        </w:trPr>
        <w:tc>
          <w:tcPr>
            <w:tcW w:w="66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5</w:t>
            </w: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6"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6"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92" w:hRule="atLeast"/>
        </w:trPr>
        <w:tc>
          <w:tcPr>
            <w:tcW w:w="66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6</w:t>
            </w: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6"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6"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92" w:hRule="atLeast"/>
        </w:trPr>
        <w:tc>
          <w:tcPr>
            <w:tcW w:w="66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7</w:t>
            </w: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6"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6"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92" w:hRule="atLeast"/>
        </w:trPr>
        <w:tc>
          <w:tcPr>
            <w:tcW w:w="66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8</w:t>
            </w: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6"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6"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92" w:hRule="atLeast"/>
        </w:trPr>
        <w:tc>
          <w:tcPr>
            <w:tcW w:w="66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9</w:t>
            </w: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6"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6"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54" w:hRule="atLeast"/>
        </w:trPr>
        <w:tc>
          <w:tcPr>
            <w:tcW w:w="66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10</w:t>
            </w: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6"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6"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31" w:hRule="atLeast"/>
        </w:trPr>
        <w:tc>
          <w:tcPr>
            <w:tcW w:w="66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w:t>
            </w: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6"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5"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1316"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r>
    </w:tbl>
    <w:p>
      <w:pPr>
        <w:spacing w:line="360" w:lineRule="auto"/>
        <w:ind w:firstLine="480"/>
        <w:rPr>
          <w:rFonts w:hint="eastAsia" w:ascii="宋体" w:hAnsi="宋体" w:eastAsia="宋体" w:cs="宋体"/>
          <w:sz w:val="24"/>
        </w:rPr>
      </w:pPr>
      <w:r>
        <w:rPr>
          <w:rFonts w:hint="eastAsia" w:ascii="宋体" w:hAnsi="宋体" w:eastAsia="宋体" w:cs="宋体"/>
          <w:sz w:val="24"/>
        </w:rPr>
        <w:t>(5)承包人安排的车辆不符合通用条款第18.5(1)款规定的证件要求，或未如实向监理工程师报送车辆和驾驶员信息，或未依程序自行改变车辆和专职驾驶员名单，承包人应向发包人支付违约金：</w:t>
      </w:r>
      <w:r>
        <w:rPr>
          <w:rFonts w:hint="eastAsia" w:ascii="宋体" w:hAnsi="宋体" w:eastAsia="宋体" w:cs="宋体"/>
          <w:sz w:val="24"/>
          <w:u w:val="single"/>
        </w:rPr>
        <w:t xml:space="preserve">          </w:t>
      </w:r>
      <w:r>
        <w:rPr>
          <w:rFonts w:hint="eastAsia" w:ascii="宋体" w:hAnsi="宋体" w:eastAsia="宋体" w:cs="宋体"/>
          <w:sz w:val="24"/>
        </w:rPr>
        <w:t>元/车·次。</w:t>
      </w:r>
    </w:p>
    <w:p>
      <w:pPr>
        <w:pStyle w:val="3"/>
        <w:numPr>
          <w:ilvl w:val="0"/>
          <w:numId w:val="0"/>
        </w:numPr>
        <w:tabs>
          <w:tab w:val="left" w:pos="540"/>
          <w:tab w:val="left" w:pos="900"/>
          <w:tab w:val="left" w:pos="2340"/>
        </w:tabs>
        <w:spacing w:before="120" w:after="156"/>
        <w:ind w:left="359"/>
        <w:jc w:val="left"/>
        <w:rPr>
          <w:rFonts w:hint="eastAsia" w:ascii="宋体" w:hAnsi="宋体" w:eastAsia="宋体" w:cs="宋体"/>
          <w:sz w:val="24"/>
        </w:rPr>
      </w:pPr>
      <w:bookmarkStart w:id="1544" w:name="_Toc32613"/>
      <w:bookmarkStart w:id="1545" w:name="_Toc302636004"/>
      <w:bookmarkStart w:id="1546" w:name="_Toc305331486"/>
      <w:bookmarkStart w:id="1547" w:name="_Toc67418787"/>
      <w:r>
        <w:rPr>
          <w:rFonts w:hint="eastAsia" w:ascii="宋体" w:hAnsi="宋体" w:eastAsia="宋体" w:cs="宋体"/>
          <w:sz w:val="24"/>
        </w:rPr>
        <w:t>18.6 专职检查人员</w:t>
      </w:r>
      <w:bookmarkEnd w:id="1544"/>
      <w:bookmarkEnd w:id="1545"/>
      <w:bookmarkEnd w:id="1546"/>
      <w:bookmarkEnd w:id="1547"/>
    </w:p>
    <w:p>
      <w:pPr>
        <w:spacing w:line="360" w:lineRule="auto"/>
        <w:ind w:firstLine="480"/>
        <w:rPr>
          <w:rFonts w:hint="eastAsia" w:ascii="宋体" w:hAnsi="宋体" w:eastAsia="宋体" w:cs="宋体"/>
          <w:sz w:val="24"/>
        </w:rPr>
      </w:pPr>
      <w:r>
        <w:rPr>
          <w:rFonts w:hint="eastAsia" w:ascii="宋体" w:hAnsi="宋体" w:eastAsia="宋体" w:cs="宋体"/>
          <w:sz w:val="24"/>
        </w:rPr>
        <w:t>承包人指定专职检查人员姓名：</w:t>
      </w:r>
      <w:r>
        <w:rPr>
          <w:rFonts w:hint="eastAsia" w:ascii="宋体" w:hAnsi="宋体" w:eastAsia="宋体" w:cs="宋体"/>
          <w:sz w:val="24"/>
          <w:u w:val="single"/>
        </w:rPr>
        <w:t xml:space="preserve">                  </w:t>
      </w:r>
      <w:r>
        <w:rPr>
          <w:rFonts w:hint="eastAsia" w:ascii="宋体" w:hAnsi="宋体" w:eastAsia="宋体" w:cs="宋体"/>
          <w:sz w:val="24"/>
        </w:rPr>
        <w:t xml:space="preserve">。                                        </w:t>
      </w:r>
    </w:p>
    <w:p>
      <w:pPr>
        <w:spacing w:line="360" w:lineRule="auto"/>
        <w:ind w:firstLine="480"/>
        <w:rPr>
          <w:rFonts w:hint="eastAsia" w:ascii="宋体" w:hAnsi="宋体" w:eastAsia="宋体" w:cs="宋体"/>
          <w:bCs/>
          <w:sz w:val="24"/>
          <w:u w:val="single"/>
        </w:rPr>
      </w:pPr>
      <w:r>
        <w:rPr>
          <w:rFonts w:hint="eastAsia" w:ascii="宋体" w:hAnsi="宋体" w:eastAsia="宋体" w:cs="宋体"/>
          <w:sz w:val="24"/>
        </w:rPr>
        <w:t>检查内容：</w:t>
      </w: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pStyle w:val="3"/>
        <w:numPr>
          <w:ilvl w:val="0"/>
          <w:numId w:val="0"/>
        </w:numPr>
        <w:tabs>
          <w:tab w:val="left" w:pos="540"/>
          <w:tab w:val="left" w:pos="900"/>
          <w:tab w:val="left" w:pos="2340"/>
        </w:tabs>
        <w:spacing w:before="120" w:after="156"/>
        <w:ind w:left="359"/>
        <w:jc w:val="left"/>
        <w:rPr>
          <w:rFonts w:hint="eastAsia" w:ascii="宋体" w:hAnsi="宋体" w:eastAsia="宋体" w:cs="宋体"/>
          <w:sz w:val="24"/>
        </w:rPr>
      </w:pPr>
      <w:bookmarkStart w:id="1548" w:name="_Toc16642"/>
      <w:bookmarkStart w:id="1549" w:name="_Toc67418788"/>
      <w:bookmarkStart w:id="1550" w:name="_Toc302636005"/>
      <w:bookmarkStart w:id="1551" w:name="_Toc305331487"/>
      <w:r>
        <w:rPr>
          <w:rFonts w:hint="eastAsia" w:ascii="宋体" w:hAnsi="宋体" w:eastAsia="宋体" w:cs="宋体"/>
          <w:sz w:val="24"/>
        </w:rPr>
        <w:t>18.7 余泥渣土安全文明运输</w:t>
      </w:r>
      <w:bookmarkEnd w:id="1548"/>
      <w:bookmarkEnd w:id="1549"/>
      <w:bookmarkEnd w:id="1550"/>
      <w:bookmarkEnd w:id="1551"/>
    </w:p>
    <w:p>
      <w:pPr>
        <w:spacing w:line="360" w:lineRule="auto"/>
        <w:ind w:firstLine="480"/>
        <w:rPr>
          <w:rFonts w:hint="eastAsia" w:ascii="宋体" w:hAnsi="宋体" w:eastAsia="宋体" w:cs="宋体"/>
          <w:sz w:val="24"/>
        </w:rPr>
      </w:pPr>
      <w:r>
        <w:rPr>
          <w:rFonts w:hint="eastAsia" w:ascii="宋体" w:hAnsi="宋体" w:eastAsia="宋体" w:cs="宋体"/>
          <w:sz w:val="24"/>
        </w:rPr>
        <w:t>承包人违反通用条款第18.7款约定，对发现问题拒不履行其应尽的合同义务，应支付违约金</w:t>
      </w:r>
      <w:r>
        <w:rPr>
          <w:rFonts w:hint="eastAsia" w:ascii="宋体" w:hAnsi="宋体" w:eastAsia="宋体" w:cs="宋体"/>
          <w:sz w:val="24"/>
          <w:u w:val="single"/>
        </w:rPr>
        <w:t xml:space="preserve">            </w:t>
      </w:r>
      <w:r>
        <w:rPr>
          <w:rFonts w:hint="eastAsia" w:ascii="宋体" w:hAnsi="宋体" w:eastAsia="宋体" w:cs="宋体"/>
          <w:sz w:val="24"/>
        </w:rPr>
        <w:t>。</w:t>
      </w:r>
    </w:p>
    <w:p>
      <w:pPr>
        <w:pStyle w:val="3"/>
        <w:numPr>
          <w:ilvl w:val="0"/>
          <w:numId w:val="0"/>
        </w:numPr>
        <w:tabs>
          <w:tab w:val="left" w:pos="540"/>
          <w:tab w:val="left" w:pos="900"/>
          <w:tab w:val="left" w:pos="2340"/>
        </w:tabs>
        <w:spacing w:before="120" w:after="156"/>
        <w:ind w:left="359"/>
        <w:jc w:val="left"/>
        <w:rPr>
          <w:rFonts w:hint="eastAsia" w:ascii="宋体" w:hAnsi="宋体" w:eastAsia="宋体" w:cs="宋体"/>
          <w:sz w:val="24"/>
        </w:rPr>
      </w:pPr>
      <w:bookmarkStart w:id="1552" w:name="_Toc305331488"/>
      <w:bookmarkStart w:id="1553" w:name="_Toc67418789"/>
      <w:bookmarkStart w:id="1554" w:name="_Toc16762"/>
      <w:bookmarkStart w:id="1555" w:name="_Toc302636006"/>
      <w:r>
        <w:rPr>
          <w:rFonts w:hint="eastAsia" w:ascii="宋体" w:hAnsi="宋体" w:eastAsia="宋体" w:cs="宋体"/>
          <w:sz w:val="24"/>
        </w:rPr>
        <w:t>18.8 检查纠正责任</w:t>
      </w:r>
      <w:bookmarkEnd w:id="1552"/>
      <w:bookmarkEnd w:id="1553"/>
      <w:bookmarkEnd w:id="1554"/>
      <w:bookmarkEnd w:id="1555"/>
    </w:p>
    <w:p>
      <w:pPr>
        <w:spacing w:line="360" w:lineRule="auto"/>
        <w:ind w:left="120" w:firstLine="360"/>
        <w:rPr>
          <w:rFonts w:hint="eastAsia" w:ascii="宋体" w:hAnsi="宋体" w:eastAsia="宋体" w:cs="宋体"/>
          <w:sz w:val="24"/>
        </w:rPr>
      </w:pPr>
      <w:r>
        <w:rPr>
          <w:rFonts w:hint="eastAsia" w:ascii="宋体" w:hAnsi="宋体" w:eastAsia="宋体" w:cs="宋体"/>
          <w:sz w:val="24"/>
        </w:rPr>
        <w:t>承包人指定的专职检查人员未履行合同约定的检查纠正职责，承包人应支违约金</w:t>
      </w:r>
      <w:r>
        <w:rPr>
          <w:rFonts w:hint="eastAsia" w:ascii="宋体" w:hAnsi="宋体" w:eastAsia="宋体" w:cs="宋体"/>
          <w:sz w:val="24"/>
          <w:u w:val="single"/>
        </w:rPr>
        <w:t xml:space="preserve">             </w:t>
      </w:r>
      <w:r>
        <w:rPr>
          <w:rFonts w:hint="eastAsia" w:ascii="宋体" w:hAnsi="宋体" w:eastAsia="宋体" w:cs="宋体"/>
          <w:sz w:val="24"/>
        </w:rPr>
        <w:t xml:space="preserve">。 </w:t>
      </w:r>
    </w:p>
    <w:bookmarkEnd w:id="1536"/>
    <w:p>
      <w:pPr>
        <w:pStyle w:val="2"/>
        <w:keepNext w:val="0"/>
        <w:keepLines w:val="0"/>
        <w:numPr>
          <w:ilvl w:val="0"/>
          <w:numId w:val="0"/>
        </w:numPr>
        <w:tabs>
          <w:tab w:val="left" w:pos="540"/>
          <w:tab w:val="left" w:pos="720"/>
          <w:tab w:val="left" w:pos="1620"/>
          <w:tab w:val="left" w:pos="2340"/>
        </w:tabs>
        <w:spacing w:before="120" w:after="120"/>
        <w:ind w:left="178"/>
        <w:rPr>
          <w:rFonts w:hint="eastAsia" w:ascii="宋体" w:hAnsi="宋体" w:eastAsia="宋体" w:cs="宋体"/>
        </w:rPr>
      </w:pPr>
      <w:bookmarkStart w:id="1556" w:name="_Toc3608"/>
      <w:bookmarkStart w:id="1557" w:name="_Toc302636007"/>
      <w:bookmarkStart w:id="1558" w:name="_Toc305331489"/>
      <w:bookmarkStart w:id="1559" w:name="_Toc67418790"/>
      <w:r>
        <w:rPr>
          <w:rFonts w:hint="eastAsia" w:ascii="宋体" w:hAnsi="宋体" w:eastAsia="宋体" w:cs="宋体"/>
        </w:rPr>
        <w:t>20 合同价格的确定和调整</w:t>
      </w:r>
      <w:bookmarkEnd w:id="1556"/>
      <w:bookmarkEnd w:id="1557"/>
      <w:bookmarkEnd w:id="1558"/>
      <w:bookmarkEnd w:id="1559"/>
    </w:p>
    <w:p>
      <w:pPr>
        <w:pStyle w:val="3"/>
        <w:numPr>
          <w:ilvl w:val="0"/>
          <w:numId w:val="0"/>
        </w:numPr>
        <w:tabs>
          <w:tab w:val="left" w:pos="540"/>
          <w:tab w:val="left" w:pos="900"/>
          <w:tab w:val="left" w:pos="2340"/>
        </w:tabs>
        <w:spacing w:before="120" w:after="156"/>
        <w:ind w:left="359"/>
        <w:jc w:val="left"/>
        <w:rPr>
          <w:rFonts w:hint="eastAsia" w:ascii="宋体" w:hAnsi="宋体" w:eastAsia="宋体" w:cs="宋体"/>
          <w:sz w:val="24"/>
        </w:rPr>
      </w:pPr>
      <w:bookmarkStart w:id="1560" w:name="_Toc67418791"/>
      <w:bookmarkStart w:id="1561" w:name="_Toc9314"/>
      <w:bookmarkStart w:id="1562" w:name="_Toc302636008"/>
      <w:bookmarkStart w:id="1563" w:name="_Toc305331490"/>
      <w:r>
        <w:rPr>
          <w:rFonts w:hint="eastAsia" w:ascii="宋体" w:hAnsi="宋体" w:eastAsia="宋体" w:cs="宋体"/>
          <w:sz w:val="24"/>
        </w:rPr>
        <w:t>20.1 签约合同价的确定</w:t>
      </w:r>
      <w:bookmarkEnd w:id="1560"/>
      <w:bookmarkEnd w:id="1561"/>
      <w:bookmarkEnd w:id="1562"/>
    </w:p>
    <w:p>
      <w:pPr>
        <w:spacing w:line="360" w:lineRule="auto"/>
        <w:ind w:left="120" w:firstLine="360"/>
        <w:rPr>
          <w:rFonts w:hint="eastAsia" w:ascii="宋体" w:hAnsi="宋体" w:eastAsia="宋体" w:cs="宋体"/>
          <w:sz w:val="24"/>
          <w:u w:val="single"/>
        </w:rPr>
      </w:pPr>
      <w:r>
        <w:rPr>
          <w:rFonts w:hint="eastAsia" w:ascii="宋体" w:hAnsi="宋体" w:eastAsia="宋体" w:cs="宋体"/>
          <w:sz w:val="24"/>
        </w:rPr>
        <w:t>（3）综合单价包含的风险范围：</w:t>
      </w:r>
      <w:r>
        <w:rPr>
          <w:rFonts w:hint="eastAsia" w:ascii="宋体" w:hAnsi="宋体" w:eastAsia="宋体" w:cs="宋体"/>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pStyle w:val="3"/>
        <w:numPr>
          <w:ilvl w:val="0"/>
          <w:numId w:val="0"/>
        </w:numPr>
        <w:tabs>
          <w:tab w:val="left" w:pos="540"/>
          <w:tab w:val="left" w:pos="900"/>
          <w:tab w:val="left" w:pos="2340"/>
        </w:tabs>
        <w:spacing w:before="120" w:after="156"/>
        <w:ind w:left="359"/>
        <w:jc w:val="left"/>
        <w:rPr>
          <w:rFonts w:hint="eastAsia" w:ascii="宋体" w:hAnsi="宋体" w:eastAsia="宋体" w:cs="宋体"/>
          <w:sz w:val="24"/>
        </w:rPr>
      </w:pPr>
      <w:bookmarkStart w:id="1564" w:name="_Toc31366"/>
      <w:bookmarkStart w:id="1565" w:name="_Toc67418792"/>
      <w:bookmarkStart w:id="1566" w:name="_Toc302636009"/>
      <w:r>
        <w:rPr>
          <w:rFonts w:hint="eastAsia" w:ascii="宋体" w:hAnsi="宋体" w:eastAsia="宋体" w:cs="宋体"/>
          <w:sz w:val="24"/>
        </w:rPr>
        <w:t>20.2 合同价格的调整</w:t>
      </w:r>
      <w:bookmarkEnd w:id="1563"/>
      <w:bookmarkEnd w:id="1564"/>
      <w:bookmarkEnd w:id="1565"/>
      <w:bookmarkEnd w:id="1566"/>
    </w:p>
    <w:p>
      <w:pPr>
        <w:spacing w:line="360" w:lineRule="auto"/>
        <w:ind w:left="120" w:firstLine="360"/>
        <w:rPr>
          <w:rFonts w:hint="eastAsia" w:ascii="宋体" w:hAnsi="宋体" w:eastAsia="宋体" w:cs="宋体"/>
          <w:sz w:val="24"/>
          <w:u w:val="single"/>
        </w:rPr>
      </w:pPr>
      <w:r>
        <w:rPr>
          <w:rFonts w:hint="eastAsia" w:ascii="宋体" w:hAnsi="宋体" w:eastAsia="宋体" w:cs="宋体"/>
          <w:sz w:val="24"/>
        </w:rPr>
        <w:t>(11)本工程合同价格调整的其他约定：</w:t>
      </w:r>
      <w:r>
        <w:rPr>
          <w:rFonts w:hint="eastAsia" w:ascii="宋体" w:hAnsi="宋体" w:eastAsia="宋体" w:cs="宋体"/>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pStyle w:val="3"/>
        <w:numPr>
          <w:ilvl w:val="0"/>
          <w:numId w:val="0"/>
        </w:numPr>
        <w:tabs>
          <w:tab w:val="left" w:pos="540"/>
          <w:tab w:val="left" w:pos="900"/>
          <w:tab w:val="left" w:pos="2340"/>
        </w:tabs>
        <w:spacing w:before="120" w:after="156"/>
        <w:ind w:left="359"/>
        <w:jc w:val="left"/>
        <w:rPr>
          <w:rFonts w:hint="eastAsia" w:ascii="宋体" w:hAnsi="宋体" w:eastAsia="宋体" w:cs="宋体"/>
          <w:sz w:val="24"/>
        </w:rPr>
      </w:pPr>
      <w:bookmarkStart w:id="1567" w:name="_Toc302636010"/>
      <w:bookmarkStart w:id="1568" w:name="_Toc17604"/>
      <w:bookmarkStart w:id="1569" w:name="_Toc305331491"/>
      <w:bookmarkStart w:id="1570" w:name="_Toc67418793"/>
      <w:r>
        <w:rPr>
          <w:rFonts w:hint="eastAsia" w:ascii="宋体" w:hAnsi="宋体" w:eastAsia="宋体" w:cs="宋体"/>
          <w:sz w:val="24"/>
        </w:rPr>
        <w:t>20.4 工料机调差</w:t>
      </w:r>
      <w:bookmarkEnd w:id="1567"/>
      <w:bookmarkEnd w:id="1568"/>
      <w:bookmarkEnd w:id="1569"/>
      <w:bookmarkEnd w:id="1570"/>
    </w:p>
    <w:p>
      <w:pPr>
        <w:spacing w:line="360" w:lineRule="auto"/>
        <w:ind w:firstLine="480"/>
        <w:rPr>
          <w:rFonts w:hint="eastAsia" w:ascii="宋体" w:hAnsi="宋体" w:eastAsia="宋体" w:cs="宋体"/>
          <w:sz w:val="24"/>
        </w:rPr>
      </w:pPr>
      <w:r>
        <w:rPr>
          <w:rFonts w:hint="eastAsia" w:ascii="宋体" w:hAnsi="宋体" w:eastAsia="宋体" w:cs="宋体"/>
          <w:sz w:val="24"/>
        </w:rPr>
        <w:t>(2)用于本工程的人工、主要材料及机械使用发生价格波动时的约定如下：</w:t>
      </w:r>
      <w:r>
        <w:rPr>
          <w:rFonts w:hint="eastAsia" w:ascii="宋体" w:hAnsi="宋体" w:eastAsia="宋体" w:cs="宋体"/>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spacing w:line="360" w:lineRule="auto"/>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ind w:firstLine="480"/>
        <w:rPr>
          <w:rFonts w:hint="eastAsia" w:ascii="宋体" w:hAnsi="宋体" w:eastAsia="宋体" w:cs="宋体"/>
          <w:sz w:val="24"/>
        </w:rPr>
      </w:pPr>
      <w:r>
        <w:rPr>
          <w:rFonts w:hint="eastAsia" w:ascii="宋体" w:hAnsi="宋体" w:eastAsia="宋体" w:cs="宋体"/>
          <w:sz w:val="24"/>
        </w:rPr>
        <w:t>(3)主要材料是指用于本工程的某种材料价款总额达到签约合同价的</w:t>
      </w:r>
      <w:r>
        <w:rPr>
          <w:rFonts w:hint="eastAsia" w:ascii="宋体" w:hAnsi="宋体" w:eastAsia="宋体" w:cs="宋体"/>
          <w:kern w:val="0"/>
          <w:u w:val="single"/>
        </w:rPr>
        <w:t xml:space="preserve">     %</w:t>
      </w:r>
      <w:r>
        <w:rPr>
          <w:rFonts w:hint="eastAsia" w:ascii="宋体" w:hAnsi="宋体" w:eastAsia="宋体" w:cs="宋体"/>
          <w:sz w:val="24"/>
        </w:rPr>
        <w:t>。</w:t>
      </w:r>
    </w:p>
    <w:p>
      <w:pPr>
        <w:spacing w:line="360" w:lineRule="auto"/>
        <w:ind w:firstLine="480"/>
        <w:rPr>
          <w:rFonts w:hint="eastAsia" w:ascii="宋体" w:hAnsi="宋体" w:eastAsia="宋体" w:cs="宋体"/>
          <w:bCs/>
          <w:sz w:val="24"/>
          <w:u w:val="single"/>
        </w:rPr>
      </w:pPr>
      <w:r>
        <w:rPr>
          <w:rFonts w:hint="eastAsia" w:ascii="宋体" w:hAnsi="宋体" w:eastAsia="宋体" w:cs="宋体"/>
          <w:sz w:val="24"/>
        </w:rPr>
        <w:t>(4)发包人和承包人根据本工程的具体实际，约定用于本工程的未达到第20.4(3)项约定比例的其它材料中可调差的材料种类为：</w:t>
      </w: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ind w:firstLine="480"/>
        <w:rPr>
          <w:rFonts w:hint="eastAsia" w:ascii="宋体" w:hAnsi="宋体" w:eastAsia="宋体" w:cs="宋体"/>
          <w:sz w:val="24"/>
        </w:rPr>
      </w:pPr>
      <w:r>
        <w:rPr>
          <w:rFonts w:hint="eastAsia" w:ascii="宋体" w:hAnsi="宋体" w:eastAsia="宋体" w:cs="宋体"/>
          <w:sz w:val="24"/>
        </w:rPr>
        <w:t>(5)本工程工料机调差费用的计算和支付约定如下：</w:t>
      </w:r>
    </w:p>
    <w:p>
      <w:pPr>
        <w:spacing w:line="360" w:lineRule="auto"/>
        <w:ind w:firstLine="480"/>
        <w:rPr>
          <w:rFonts w:hint="eastAsia" w:ascii="宋体" w:hAnsi="宋体" w:eastAsia="宋体" w:cs="宋体"/>
          <w:sz w:val="24"/>
        </w:rPr>
      </w:pPr>
      <w:r>
        <w:rPr>
          <w:rFonts w:hint="eastAsia" w:ascii="宋体" w:hAnsi="宋体" w:eastAsia="宋体" w:cs="宋体"/>
          <w:sz w:val="24"/>
        </w:rPr>
        <w:drawing>
          <wp:inline distT="0" distB="0" distL="114300" distR="114300">
            <wp:extent cx="152400" cy="142875"/>
            <wp:effectExtent l="0" t="0" r="0" b="9525"/>
            <wp:docPr id="177"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图片 100"/>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sz w:val="24"/>
        </w:rPr>
        <w:t>与其相关的工程完工后进行计算并同期支付。</w:t>
      </w:r>
    </w:p>
    <w:p>
      <w:pPr>
        <w:spacing w:line="360" w:lineRule="auto"/>
        <w:ind w:firstLine="480"/>
        <w:rPr>
          <w:rFonts w:hint="eastAsia" w:ascii="宋体" w:hAnsi="宋体" w:eastAsia="宋体" w:cs="宋体"/>
          <w:sz w:val="24"/>
        </w:rPr>
      </w:pPr>
      <w:r>
        <w:rPr>
          <w:rFonts w:hint="eastAsia" w:ascii="宋体" w:hAnsi="宋体" w:eastAsia="宋体" w:cs="宋体"/>
          <w:sz w:val="24"/>
        </w:rPr>
        <w:drawing>
          <wp:inline distT="0" distB="0" distL="114300" distR="114300">
            <wp:extent cx="152400" cy="142875"/>
            <wp:effectExtent l="0" t="0" r="0" b="9525"/>
            <wp:docPr id="170"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图片 101"/>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sz w:val="24"/>
        </w:rPr>
        <w:t>竣工结算时一次性计算和支付。</w:t>
      </w:r>
    </w:p>
    <w:p>
      <w:pPr>
        <w:spacing w:line="360" w:lineRule="auto"/>
        <w:ind w:firstLine="480"/>
        <w:rPr>
          <w:rFonts w:hint="eastAsia" w:ascii="宋体" w:hAnsi="宋体" w:eastAsia="宋体" w:cs="宋体"/>
          <w:sz w:val="24"/>
          <w:u w:val="single"/>
        </w:rPr>
      </w:pPr>
      <w:r>
        <w:rPr>
          <w:rFonts w:hint="eastAsia" w:ascii="宋体" w:hAnsi="宋体" w:eastAsia="宋体" w:cs="宋体"/>
          <w:sz w:val="24"/>
        </w:rPr>
        <w:drawing>
          <wp:inline distT="0" distB="0" distL="114300" distR="114300">
            <wp:extent cx="152400" cy="142875"/>
            <wp:effectExtent l="0" t="0" r="0" b="9525"/>
            <wp:docPr id="17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图片 102"/>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sz w:val="24"/>
        </w:rPr>
        <w:t>其他方式。具体约定为：</w:t>
      </w:r>
      <w:r>
        <w:rPr>
          <w:rFonts w:hint="eastAsia" w:ascii="宋体" w:hAnsi="宋体" w:eastAsia="宋体" w:cs="宋体"/>
          <w:sz w:val="24"/>
          <w:u w:val="single"/>
        </w:rPr>
        <w:t xml:space="preserve">                                                </w:t>
      </w:r>
    </w:p>
    <w:p>
      <w:pPr>
        <w:spacing w:line="360" w:lineRule="auto"/>
        <w:ind w:firstLine="480"/>
        <w:rPr>
          <w:rFonts w:hint="eastAsia" w:ascii="宋体" w:hAnsi="宋体" w:eastAsia="宋体" w:cs="宋体"/>
          <w:sz w:val="24"/>
          <w:u w:val="single"/>
        </w:rPr>
      </w:pPr>
      <w:r>
        <w:rPr>
          <w:rFonts w:hint="eastAsia" w:ascii="宋体" w:hAnsi="宋体" w:eastAsia="宋体" w:cs="宋体"/>
          <w:sz w:val="24"/>
          <w:u w:val="single"/>
        </w:rPr>
        <w:t xml:space="preserve">                                                                        </w:t>
      </w:r>
    </w:p>
    <w:p>
      <w:pPr>
        <w:pStyle w:val="3"/>
        <w:numPr>
          <w:ilvl w:val="0"/>
          <w:numId w:val="0"/>
        </w:numPr>
        <w:tabs>
          <w:tab w:val="left" w:pos="540"/>
          <w:tab w:val="left" w:pos="900"/>
          <w:tab w:val="left" w:pos="2340"/>
        </w:tabs>
        <w:spacing w:before="120" w:after="156"/>
        <w:ind w:left="359"/>
        <w:jc w:val="left"/>
        <w:rPr>
          <w:rFonts w:hint="eastAsia" w:ascii="宋体" w:hAnsi="宋体" w:eastAsia="宋体" w:cs="宋体"/>
          <w:sz w:val="24"/>
        </w:rPr>
      </w:pPr>
      <w:bookmarkStart w:id="1571" w:name="_Toc302636011"/>
      <w:bookmarkStart w:id="1572" w:name="_Toc67418794"/>
      <w:bookmarkStart w:id="1573" w:name="_Toc30973"/>
      <w:r>
        <w:rPr>
          <w:rFonts w:hint="eastAsia" w:ascii="宋体" w:hAnsi="宋体" w:eastAsia="宋体" w:cs="宋体"/>
          <w:sz w:val="24"/>
        </w:rPr>
        <w:t>20.5 材料调差</w:t>
      </w:r>
      <w:bookmarkEnd w:id="1571"/>
      <w:bookmarkEnd w:id="1572"/>
      <w:bookmarkEnd w:id="1573"/>
    </w:p>
    <w:p>
      <w:pPr>
        <w:spacing w:line="360" w:lineRule="auto"/>
        <w:ind w:firstLine="480"/>
        <w:rPr>
          <w:rFonts w:hint="eastAsia" w:ascii="宋体" w:hAnsi="宋体" w:eastAsia="宋体" w:cs="宋体"/>
          <w:sz w:val="24"/>
        </w:rPr>
      </w:pPr>
      <w:r>
        <w:rPr>
          <w:rFonts w:hint="eastAsia" w:ascii="宋体" w:hAnsi="宋体" w:eastAsia="宋体" w:cs="宋体"/>
          <w:sz w:val="24"/>
        </w:rPr>
        <w:t>用于本工程的按照20.4(3)、(4)款确定的可调差材料发生价格波动时合同价格的调整方法为：</w:t>
      </w:r>
    </w:p>
    <w:p>
      <w:pPr>
        <w:spacing w:line="360" w:lineRule="auto"/>
        <w:ind w:firstLine="480"/>
        <w:rPr>
          <w:rFonts w:hint="eastAsia" w:ascii="宋体" w:hAnsi="宋体" w:eastAsia="宋体" w:cs="宋体"/>
          <w:sz w:val="24"/>
        </w:rPr>
      </w:pPr>
      <w:r>
        <w:rPr>
          <w:rFonts w:hint="eastAsia" w:ascii="宋体" w:hAnsi="宋体" w:eastAsia="宋体" w:cs="宋体"/>
          <w:sz w:val="24"/>
        </w:rPr>
        <w:drawing>
          <wp:inline distT="0" distB="0" distL="114300" distR="114300">
            <wp:extent cx="152400" cy="142875"/>
            <wp:effectExtent l="0" t="0" r="0" b="9525"/>
            <wp:docPr id="174"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图片 103"/>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sz w:val="24"/>
        </w:rPr>
        <w:t>（1）加权平均法。</w:t>
      </w:r>
    </w:p>
    <w:p>
      <w:pPr>
        <w:spacing w:line="360" w:lineRule="auto"/>
        <w:ind w:firstLine="480"/>
        <w:rPr>
          <w:rFonts w:hint="eastAsia" w:ascii="宋体" w:hAnsi="宋体" w:eastAsia="宋体" w:cs="宋体"/>
          <w:sz w:val="24"/>
        </w:rPr>
      </w:pPr>
      <w:r>
        <w:rPr>
          <w:rFonts w:hint="eastAsia" w:ascii="宋体" w:hAnsi="宋体" w:eastAsia="宋体" w:cs="宋体"/>
          <w:sz w:val="24"/>
        </w:rPr>
        <w:drawing>
          <wp:inline distT="0" distB="0" distL="114300" distR="114300">
            <wp:extent cx="152400" cy="142875"/>
            <wp:effectExtent l="0" t="0" r="0" b="9525"/>
            <wp:docPr id="16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图片 104"/>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sz w:val="24"/>
        </w:rPr>
        <w:t>（2）算术平均法。</w:t>
      </w:r>
    </w:p>
    <w:p>
      <w:pPr>
        <w:spacing w:line="360" w:lineRule="auto"/>
        <w:ind w:firstLine="480"/>
        <w:rPr>
          <w:rFonts w:hint="eastAsia" w:ascii="宋体" w:hAnsi="宋体" w:eastAsia="宋体" w:cs="宋体"/>
          <w:sz w:val="24"/>
          <w:u w:val="single"/>
        </w:rPr>
      </w:pPr>
      <w:r>
        <w:rPr>
          <w:rFonts w:hint="eastAsia" w:ascii="宋体" w:hAnsi="宋体" w:eastAsia="宋体" w:cs="宋体"/>
          <w:sz w:val="24"/>
        </w:rPr>
        <w:drawing>
          <wp:inline distT="0" distB="0" distL="114300" distR="114300">
            <wp:extent cx="152400" cy="142875"/>
            <wp:effectExtent l="0" t="0" r="0" b="9525"/>
            <wp:docPr id="176"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图片 105"/>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sz w:val="24"/>
        </w:rPr>
        <w:t>（3）其他方法。具体约定为：</w:t>
      </w:r>
      <w:r>
        <w:rPr>
          <w:rFonts w:hint="eastAsia" w:ascii="宋体" w:hAnsi="宋体" w:eastAsia="宋体" w:cs="宋体"/>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spacing w:line="360" w:lineRule="auto"/>
        <w:ind w:firstLine="480"/>
        <w:rPr>
          <w:rFonts w:hint="eastAsia" w:ascii="宋体" w:hAnsi="宋体" w:eastAsia="宋体" w:cs="宋体"/>
          <w:sz w:val="24"/>
        </w:rPr>
      </w:pPr>
      <w:r>
        <w:rPr>
          <w:rFonts w:hint="eastAsia" w:ascii="宋体" w:hAnsi="宋体" w:eastAsia="宋体" w:cs="宋体"/>
          <w:sz w:val="24"/>
        </w:rPr>
        <w:t>调差公式中，P</w:t>
      </w:r>
      <w:r>
        <w:rPr>
          <w:rFonts w:hint="eastAsia" w:ascii="宋体" w:hAnsi="宋体" w:eastAsia="宋体" w:cs="宋体"/>
          <w:sz w:val="24"/>
          <w:vertAlign w:val="subscript"/>
        </w:rPr>
        <w:t>0</w:t>
      </w:r>
      <w:r>
        <w:rPr>
          <w:rFonts w:hint="eastAsia" w:ascii="宋体" w:hAnsi="宋体" w:eastAsia="宋体" w:cs="宋体"/>
          <w:sz w:val="24"/>
        </w:rPr>
        <w:t>为</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月《深圳建设工程价格信息》某材料价格。</w:t>
      </w:r>
    </w:p>
    <w:p>
      <w:pPr>
        <w:spacing w:line="360" w:lineRule="auto"/>
        <w:ind w:firstLine="480"/>
        <w:rPr>
          <w:rFonts w:hint="eastAsia" w:ascii="宋体" w:hAnsi="宋体" w:eastAsia="宋体" w:cs="宋体"/>
          <w:sz w:val="24"/>
        </w:rPr>
      </w:pPr>
      <w:r>
        <w:rPr>
          <w:rFonts w:hint="eastAsia" w:ascii="宋体" w:hAnsi="宋体" w:eastAsia="宋体" w:cs="宋体"/>
          <w:sz w:val="24"/>
        </w:rPr>
        <w:t>本合同Q</w:t>
      </w:r>
      <w:r>
        <w:rPr>
          <w:rFonts w:hint="eastAsia" w:ascii="宋体" w:hAnsi="宋体" w:eastAsia="宋体" w:cs="宋体"/>
          <w:sz w:val="24"/>
          <w:vertAlign w:val="subscript"/>
        </w:rPr>
        <w:t>总</w:t>
      </w:r>
      <w:r>
        <w:rPr>
          <w:rFonts w:hint="eastAsia" w:ascii="宋体" w:hAnsi="宋体" w:eastAsia="宋体" w:cs="宋体"/>
          <w:sz w:val="24"/>
        </w:rPr>
        <w:t>、Q</w:t>
      </w:r>
      <w:r>
        <w:rPr>
          <w:rFonts w:hint="eastAsia" w:ascii="宋体" w:hAnsi="宋体" w:eastAsia="宋体" w:cs="宋体"/>
          <w:sz w:val="24"/>
          <w:vertAlign w:val="subscript"/>
        </w:rPr>
        <w:t>i</w:t>
      </w:r>
      <w:r>
        <w:rPr>
          <w:rFonts w:hint="eastAsia" w:ascii="宋体" w:hAnsi="宋体" w:eastAsia="宋体" w:cs="宋体"/>
          <w:sz w:val="24"/>
        </w:rPr>
        <w:t>中，考虑的消耗量因素为：（注：只能选择一种方式，在选定的方式前的“□”内打“√”）</w:t>
      </w:r>
    </w:p>
    <w:p>
      <w:pPr>
        <w:spacing w:line="360" w:lineRule="auto"/>
        <w:ind w:firstLine="480"/>
        <w:rPr>
          <w:rFonts w:hint="eastAsia" w:ascii="宋体" w:hAnsi="宋体" w:eastAsia="宋体" w:cs="宋体"/>
          <w:sz w:val="24"/>
        </w:rPr>
      </w:pPr>
      <w:r>
        <w:rPr>
          <w:rFonts w:hint="eastAsia" w:ascii="宋体" w:hAnsi="宋体" w:eastAsia="宋体" w:cs="宋体"/>
          <w:sz w:val="24"/>
        </w:rPr>
        <w:t>□投标报价中材料消耗量。</w:t>
      </w:r>
    </w:p>
    <w:p>
      <w:pPr>
        <w:spacing w:line="360" w:lineRule="auto"/>
        <w:ind w:firstLine="480"/>
        <w:rPr>
          <w:rFonts w:hint="eastAsia" w:ascii="宋体" w:hAnsi="宋体" w:eastAsia="宋体" w:cs="宋体"/>
          <w:sz w:val="24"/>
        </w:rPr>
      </w:pPr>
      <w:r>
        <w:rPr>
          <w:rFonts w:hint="eastAsia" w:ascii="宋体" w:hAnsi="宋体" w:eastAsia="宋体" w:cs="宋体"/>
          <w:sz w:val="24"/>
        </w:rPr>
        <w:t>□定额消耗量。</w:t>
      </w:r>
    </w:p>
    <w:p>
      <w:pPr>
        <w:spacing w:line="360" w:lineRule="auto"/>
        <w:ind w:firstLine="480"/>
        <w:rPr>
          <w:rFonts w:hint="eastAsia" w:ascii="宋体" w:hAnsi="宋体" w:eastAsia="宋体" w:cs="宋体"/>
          <w:sz w:val="24"/>
        </w:rPr>
      </w:pPr>
      <w:r>
        <w:rPr>
          <w:rFonts w:hint="eastAsia" w:ascii="宋体" w:hAnsi="宋体" w:eastAsia="宋体" w:cs="宋体"/>
          <w:sz w:val="24"/>
        </w:rPr>
        <w:t>□投标报价中材料消耗量和定额消耗量两者中最小值。</w:t>
      </w:r>
    </w:p>
    <w:p>
      <w:pPr>
        <w:tabs>
          <w:tab w:val="left" w:pos="1620"/>
          <w:tab w:val="left" w:pos="2340"/>
        </w:tabs>
        <w:snapToGrid w:val="0"/>
        <w:ind w:firstLine="480" w:firstLineChars="200"/>
        <w:rPr>
          <w:rFonts w:hint="eastAsia" w:ascii="宋体" w:hAnsi="宋体" w:eastAsia="宋体" w:cs="宋体"/>
          <w:sz w:val="24"/>
        </w:rPr>
      </w:pPr>
      <w:r>
        <w:rPr>
          <w:rFonts w:hint="eastAsia" w:ascii="宋体" w:hAnsi="宋体" w:eastAsia="宋体" w:cs="宋体"/>
          <w:sz w:val="24"/>
        </w:rPr>
        <w:t>□其他：</w:t>
      </w:r>
      <w:r>
        <w:rPr>
          <w:rFonts w:hint="eastAsia" w:ascii="宋体" w:hAnsi="宋体" w:eastAsia="宋体" w:cs="宋体"/>
          <w:sz w:val="24"/>
          <w:u w:val="single"/>
        </w:rPr>
        <w:t xml:space="preserve">                 </w:t>
      </w:r>
      <w:r>
        <w:rPr>
          <w:rFonts w:hint="eastAsia" w:ascii="宋体" w:hAnsi="宋体" w:eastAsia="宋体" w:cs="宋体"/>
          <w:sz w:val="24"/>
        </w:rPr>
        <w:t>。</w:t>
      </w:r>
    </w:p>
    <w:p>
      <w:pPr>
        <w:pStyle w:val="3"/>
        <w:numPr>
          <w:ilvl w:val="0"/>
          <w:numId w:val="0"/>
        </w:numPr>
        <w:tabs>
          <w:tab w:val="left" w:pos="540"/>
          <w:tab w:val="left" w:pos="900"/>
          <w:tab w:val="left" w:pos="2340"/>
        </w:tabs>
        <w:spacing w:before="120" w:after="156"/>
        <w:ind w:left="359"/>
        <w:jc w:val="left"/>
        <w:rPr>
          <w:rFonts w:hint="eastAsia" w:ascii="宋体" w:hAnsi="宋体" w:eastAsia="宋体" w:cs="宋体"/>
          <w:sz w:val="24"/>
        </w:rPr>
      </w:pPr>
      <w:bookmarkStart w:id="1574" w:name="_Toc67418795"/>
      <w:bookmarkStart w:id="1575" w:name="_Toc30887"/>
      <w:bookmarkStart w:id="1576" w:name="_Toc302636012"/>
      <w:bookmarkStart w:id="1577" w:name="_Toc305331492"/>
      <w:r>
        <w:rPr>
          <w:rFonts w:hint="eastAsia" w:ascii="宋体" w:hAnsi="宋体" w:eastAsia="宋体" w:cs="宋体"/>
          <w:sz w:val="24"/>
        </w:rPr>
        <w:t>20.6 人工、机械使用调差方法</w:t>
      </w:r>
      <w:bookmarkEnd w:id="1574"/>
      <w:bookmarkEnd w:id="1575"/>
    </w:p>
    <w:p>
      <w:pPr>
        <w:spacing w:line="360" w:lineRule="auto"/>
        <w:ind w:firstLine="480"/>
        <w:rPr>
          <w:rFonts w:hint="eastAsia" w:ascii="宋体" w:hAnsi="宋体" w:eastAsia="宋体" w:cs="宋体"/>
          <w:sz w:val="24"/>
        </w:rPr>
      </w:pPr>
      <w:r>
        <w:rPr>
          <w:rFonts w:hint="eastAsia" w:ascii="宋体" w:hAnsi="宋体" w:eastAsia="宋体" w:cs="宋体"/>
          <w:bCs/>
          <w:sz w:val="24"/>
        </w:rPr>
        <w:t>⑵用于本工程的人工发生价格波动时，</w:t>
      </w:r>
      <w:r>
        <w:rPr>
          <w:rFonts w:hint="eastAsia" w:ascii="宋体" w:hAnsi="宋体" w:eastAsia="宋体" w:cs="宋体"/>
          <w:sz w:val="24"/>
        </w:rPr>
        <w:t>合同价格的调整方法为：</w:t>
      </w:r>
    </w:p>
    <w:p>
      <w:pPr>
        <w:numPr>
          <w:ilvl w:val="0"/>
          <w:numId w:val="1"/>
        </w:numPr>
        <w:spacing w:line="360" w:lineRule="auto"/>
        <w:rPr>
          <w:rFonts w:hint="eastAsia" w:ascii="宋体" w:hAnsi="宋体" w:eastAsia="宋体" w:cs="宋体"/>
          <w:sz w:val="24"/>
        </w:rPr>
      </w:pPr>
      <w:r>
        <w:rPr>
          <w:rFonts w:hint="eastAsia" w:ascii="宋体" w:hAnsi="宋体" w:eastAsia="宋体" w:cs="宋体"/>
          <w:sz w:val="24"/>
        </w:rPr>
        <w:t>①按照20.5款调差公式，将公式中的材料价格替换为人工价格：</w:t>
      </w:r>
    </w:p>
    <w:p>
      <w:pPr>
        <w:spacing w:line="360" w:lineRule="auto"/>
        <w:ind w:left="420" w:firstLine="480" w:firstLineChars="200"/>
        <w:rPr>
          <w:rFonts w:hint="eastAsia" w:ascii="宋体" w:hAnsi="宋体" w:eastAsia="宋体" w:cs="宋体"/>
          <w:sz w:val="24"/>
        </w:rPr>
      </w:pPr>
      <w:r>
        <w:rPr>
          <w:rFonts w:hint="eastAsia" w:ascii="宋体" w:hAnsi="宋体" w:eastAsia="宋体" w:cs="宋体"/>
          <w:sz w:val="24"/>
        </w:rPr>
        <w:t>□1.加权平均法。</w:t>
      </w:r>
    </w:p>
    <w:p>
      <w:pPr>
        <w:spacing w:line="360" w:lineRule="auto"/>
        <w:ind w:left="420" w:firstLine="480" w:firstLineChars="200"/>
        <w:rPr>
          <w:rFonts w:hint="eastAsia" w:ascii="宋体" w:hAnsi="宋体" w:eastAsia="宋体" w:cs="宋体"/>
          <w:sz w:val="24"/>
        </w:rPr>
      </w:pPr>
      <w:r>
        <w:rPr>
          <w:rFonts w:hint="eastAsia" w:ascii="宋体" w:hAnsi="宋体" w:eastAsia="宋体" w:cs="宋体"/>
          <w:sz w:val="24"/>
        </w:rPr>
        <w:t>□2.算术平均法。</w:t>
      </w:r>
    </w:p>
    <w:p>
      <w:pPr>
        <w:spacing w:line="360" w:lineRule="auto"/>
        <w:ind w:left="420"/>
        <w:rPr>
          <w:rFonts w:hint="eastAsia" w:ascii="宋体" w:hAnsi="宋体" w:eastAsia="宋体" w:cs="宋体"/>
          <w:sz w:val="24"/>
        </w:rPr>
      </w:pPr>
      <w:r>
        <w:rPr>
          <w:rFonts w:hint="eastAsia" w:ascii="宋体" w:hAnsi="宋体" w:eastAsia="宋体" w:cs="宋体"/>
          <w:sz w:val="24"/>
        </w:rPr>
        <w:drawing>
          <wp:inline distT="0" distB="0" distL="114300" distR="114300">
            <wp:extent cx="152400" cy="142875"/>
            <wp:effectExtent l="0" t="0" r="0" b="9525"/>
            <wp:docPr id="165"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图片 106"/>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sz w:val="24"/>
        </w:rPr>
        <w:t>②人工费指数调差。</w:t>
      </w:r>
    </w:p>
    <w:p>
      <w:pPr>
        <w:spacing w:line="360" w:lineRule="auto"/>
        <w:ind w:left="420" w:firstLine="480" w:firstLineChars="200"/>
        <w:rPr>
          <w:rFonts w:hint="eastAsia" w:ascii="宋体" w:hAnsi="宋体" w:eastAsia="宋体" w:cs="宋体"/>
          <w:sz w:val="24"/>
        </w:rPr>
      </w:pPr>
      <w:r>
        <w:rPr>
          <w:rFonts w:hint="eastAsia" w:ascii="宋体" w:hAnsi="宋体" w:eastAsia="宋体" w:cs="宋体"/>
          <w:sz w:val="24"/>
        </w:rPr>
        <w:t>调差公式中，I</w:t>
      </w:r>
      <w:r>
        <w:rPr>
          <w:rFonts w:hint="eastAsia" w:ascii="宋体" w:hAnsi="宋体" w:eastAsia="宋体" w:cs="宋体"/>
          <w:sz w:val="24"/>
          <w:vertAlign w:val="subscript"/>
        </w:rPr>
        <w:t>o</w:t>
      </w:r>
      <w:r>
        <w:rPr>
          <w:rFonts w:hint="eastAsia" w:ascii="宋体" w:hAnsi="宋体" w:eastAsia="宋体" w:cs="宋体"/>
          <w:sz w:val="24"/>
        </w:rPr>
        <w:t>为</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月《深圳建设工程价格信息》某工种定额人工费指数。</w:t>
      </w:r>
    </w:p>
    <w:p>
      <w:pPr>
        <w:spacing w:line="360" w:lineRule="auto"/>
        <w:ind w:left="420" w:firstLine="480" w:firstLineChars="200"/>
        <w:rPr>
          <w:rFonts w:hint="eastAsia" w:ascii="宋体" w:hAnsi="宋体" w:eastAsia="宋体" w:cs="宋体"/>
          <w:sz w:val="24"/>
        </w:rPr>
      </w:pPr>
      <w:r>
        <w:rPr>
          <w:rFonts w:hint="eastAsia" w:ascii="宋体" w:hAnsi="宋体" w:eastAsia="宋体" w:cs="宋体"/>
          <w:sz w:val="24"/>
        </w:rPr>
        <w:t>L</w:t>
      </w:r>
      <w:r>
        <w:rPr>
          <w:rFonts w:hint="eastAsia" w:ascii="宋体" w:hAnsi="宋体" w:eastAsia="宋体" w:cs="宋体"/>
          <w:sz w:val="24"/>
          <w:vertAlign w:val="subscript"/>
        </w:rPr>
        <w:t>总</w:t>
      </w:r>
      <w:r>
        <w:rPr>
          <w:rFonts w:hint="eastAsia" w:ascii="宋体" w:hAnsi="宋体" w:eastAsia="宋体" w:cs="宋体"/>
          <w:sz w:val="24"/>
        </w:rPr>
        <w:t>确定原则：（注：只能选择一种方式，在选定的方式前的“□”内打“√”）</w:t>
      </w:r>
    </w:p>
    <w:p>
      <w:pPr>
        <w:spacing w:line="360" w:lineRule="auto"/>
        <w:ind w:left="420" w:firstLine="480" w:firstLineChars="200"/>
        <w:rPr>
          <w:rFonts w:hint="eastAsia" w:ascii="宋体" w:hAnsi="宋体" w:eastAsia="宋体" w:cs="宋体"/>
          <w:sz w:val="24"/>
        </w:rPr>
      </w:pPr>
      <w:r>
        <w:rPr>
          <w:rFonts w:hint="eastAsia" w:ascii="宋体" w:hAnsi="宋体" w:eastAsia="宋体" w:cs="宋体"/>
          <w:sz w:val="24"/>
        </w:rPr>
        <w:t>□按投标文件商务标书中某工种总人工费所占比例确定。</w:t>
      </w:r>
    </w:p>
    <w:p>
      <w:pPr>
        <w:spacing w:line="360" w:lineRule="auto"/>
        <w:ind w:left="1185" w:leftChars="450" w:hanging="240" w:hangingChars="100"/>
        <w:rPr>
          <w:rFonts w:hint="eastAsia" w:ascii="宋体" w:hAnsi="宋体" w:eastAsia="宋体" w:cs="宋体"/>
          <w:sz w:val="24"/>
        </w:rPr>
      </w:pPr>
      <w:r>
        <w:rPr>
          <w:rFonts w:hint="eastAsia" w:ascii="宋体" w:hAnsi="宋体" w:eastAsia="宋体" w:cs="宋体"/>
          <w:sz w:val="24"/>
        </w:rPr>
        <w:t>□按合同价格（工料机调差前）的一定比例确定：普工总人工费为合同价格（工料机调差前）的</w:t>
      </w:r>
      <w:r>
        <w:rPr>
          <w:rFonts w:hint="eastAsia" w:ascii="宋体" w:hAnsi="宋体" w:eastAsia="宋体" w:cs="宋体"/>
          <w:sz w:val="24"/>
          <w:u w:val="single"/>
        </w:rPr>
        <w:t xml:space="preserve">   </w:t>
      </w:r>
      <w:r>
        <w:rPr>
          <w:rFonts w:hint="eastAsia" w:ascii="宋体" w:hAnsi="宋体" w:eastAsia="宋体" w:cs="宋体"/>
          <w:sz w:val="24"/>
        </w:rPr>
        <w:t>%；技工总人工费为合同价格（工料机调差前）的</w:t>
      </w:r>
      <w:r>
        <w:rPr>
          <w:rFonts w:hint="eastAsia" w:ascii="宋体" w:hAnsi="宋体" w:eastAsia="宋体" w:cs="宋体"/>
          <w:sz w:val="24"/>
          <w:u w:val="single"/>
        </w:rPr>
        <w:t xml:space="preserve">   </w:t>
      </w:r>
      <w:r>
        <w:rPr>
          <w:rFonts w:hint="eastAsia" w:ascii="宋体" w:hAnsi="宋体" w:eastAsia="宋体" w:cs="宋体"/>
          <w:sz w:val="24"/>
        </w:rPr>
        <w:t>%；高级技工总人工费为合同价格（工料机调差前）的</w:t>
      </w:r>
      <w:r>
        <w:rPr>
          <w:rFonts w:hint="eastAsia" w:ascii="宋体" w:hAnsi="宋体" w:eastAsia="宋体" w:cs="宋体"/>
          <w:sz w:val="24"/>
          <w:u w:val="single"/>
        </w:rPr>
        <w:t xml:space="preserve">   </w:t>
      </w:r>
      <w:r>
        <w:rPr>
          <w:rFonts w:hint="eastAsia" w:ascii="宋体" w:hAnsi="宋体" w:eastAsia="宋体" w:cs="宋体"/>
          <w:sz w:val="24"/>
        </w:rPr>
        <w:t>%。</w:t>
      </w:r>
    </w:p>
    <w:p>
      <w:pPr>
        <w:spacing w:line="360" w:lineRule="auto"/>
        <w:ind w:left="420" w:firstLine="480" w:firstLineChars="200"/>
        <w:rPr>
          <w:rFonts w:hint="eastAsia" w:ascii="宋体" w:hAnsi="宋体" w:eastAsia="宋体" w:cs="宋体"/>
          <w:sz w:val="24"/>
        </w:rPr>
      </w:pPr>
      <w:r>
        <w:rPr>
          <w:rFonts w:hint="eastAsia" w:ascii="宋体" w:hAnsi="宋体" w:eastAsia="宋体" w:cs="宋体"/>
          <w:sz w:val="24"/>
        </w:rPr>
        <w:t>□其他：</w:t>
      </w:r>
      <w:r>
        <w:rPr>
          <w:rFonts w:hint="eastAsia" w:ascii="宋体" w:hAnsi="宋体" w:eastAsia="宋体" w:cs="宋体"/>
          <w:sz w:val="24"/>
          <w:u w:val="single"/>
        </w:rPr>
        <w:t xml:space="preserve">                   </w:t>
      </w:r>
      <w:r>
        <w:rPr>
          <w:rFonts w:hint="eastAsia" w:ascii="宋体" w:hAnsi="宋体" w:eastAsia="宋体" w:cs="宋体"/>
          <w:sz w:val="24"/>
        </w:rPr>
        <w:t>。</w:t>
      </w:r>
    </w:p>
    <w:p>
      <w:pPr>
        <w:spacing w:line="360" w:lineRule="auto"/>
        <w:ind w:left="420"/>
        <w:rPr>
          <w:rFonts w:hint="eastAsia" w:ascii="宋体" w:hAnsi="宋体" w:eastAsia="宋体" w:cs="宋体"/>
          <w:bCs/>
          <w:sz w:val="24"/>
          <w:u w:val="single"/>
        </w:rPr>
      </w:pPr>
      <w:r>
        <w:rPr>
          <w:rFonts w:hint="eastAsia" w:ascii="宋体" w:hAnsi="宋体" w:eastAsia="宋体" w:cs="宋体"/>
          <w:sz w:val="24"/>
        </w:rPr>
        <w:drawing>
          <wp:inline distT="0" distB="0" distL="114300" distR="114300">
            <wp:extent cx="152400" cy="142875"/>
            <wp:effectExtent l="0" t="0" r="0" b="9525"/>
            <wp:docPr id="162"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图片 107"/>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bCs/>
          <w:sz w:val="24"/>
        </w:rPr>
        <w:t>③其他：</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pStyle w:val="3"/>
        <w:numPr>
          <w:ilvl w:val="0"/>
          <w:numId w:val="0"/>
        </w:numPr>
        <w:tabs>
          <w:tab w:val="left" w:pos="540"/>
          <w:tab w:val="left" w:pos="900"/>
          <w:tab w:val="left" w:pos="2340"/>
        </w:tabs>
        <w:spacing w:before="120" w:after="156"/>
        <w:ind w:left="359"/>
        <w:jc w:val="left"/>
        <w:rPr>
          <w:rFonts w:hint="eastAsia" w:ascii="宋体" w:hAnsi="宋体" w:eastAsia="宋体" w:cs="宋体"/>
          <w:sz w:val="24"/>
        </w:rPr>
      </w:pPr>
      <w:bookmarkStart w:id="1578" w:name="_Toc67418796"/>
      <w:bookmarkStart w:id="1579" w:name="_Toc25880"/>
      <w:r>
        <w:rPr>
          <w:rFonts w:hint="eastAsia" w:ascii="宋体" w:hAnsi="宋体" w:eastAsia="宋体" w:cs="宋体"/>
          <w:sz w:val="24"/>
        </w:rPr>
        <w:t>20.8中标净下浮率</w:t>
      </w:r>
      <w:bookmarkEnd w:id="1576"/>
      <w:bookmarkEnd w:id="1578"/>
      <w:bookmarkEnd w:id="1579"/>
    </w:p>
    <w:p>
      <w:pPr>
        <w:spacing w:line="360" w:lineRule="auto"/>
        <w:ind w:firstLine="480"/>
        <w:rPr>
          <w:rFonts w:hint="eastAsia" w:ascii="宋体" w:hAnsi="宋体" w:eastAsia="宋体" w:cs="宋体"/>
          <w:sz w:val="24"/>
        </w:rPr>
      </w:pPr>
      <w:r>
        <w:rPr>
          <w:rFonts w:hint="eastAsia" w:ascii="宋体" w:hAnsi="宋体" w:eastAsia="宋体" w:cs="宋体"/>
          <w:sz w:val="24"/>
        </w:rPr>
        <w:t>本工程中标净下浮率为：</w:t>
      </w:r>
      <w:r>
        <w:rPr>
          <w:rFonts w:hint="eastAsia" w:ascii="宋体" w:hAnsi="宋体" w:eastAsia="宋体" w:cs="宋体"/>
          <w:sz w:val="24"/>
          <w:u w:val="single"/>
        </w:rPr>
        <w:t xml:space="preserve">          %</w:t>
      </w:r>
      <w:r>
        <w:rPr>
          <w:rFonts w:hint="eastAsia" w:ascii="宋体" w:hAnsi="宋体" w:eastAsia="宋体" w:cs="宋体"/>
          <w:sz w:val="24"/>
        </w:rPr>
        <w:t>。</w:t>
      </w:r>
    </w:p>
    <w:p>
      <w:pPr>
        <w:pStyle w:val="3"/>
        <w:numPr>
          <w:ilvl w:val="0"/>
          <w:numId w:val="0"/>
        </w:numPr>
        <w:tabs>
          <w:tab w:val="left" w:pos="540"/>
          <w:tab w:val="left" w:pos="900"/>
          <w:tab w:val="left" w:pos="2340"/>
        </w:tabs>
        <w:spacing w:before="120" w:after="156"/>
        <w:ind w:left="359"/>
        <w:jc w:val="left"/>
        <w:rPr>
          <w:rFonts w:hint="eastAsia" w:ascii="宋体" w:hAnsi="宋体" w:eastAsia="宋体" w:cs="宋体"/>
          <w:sz w:val="24"/>
        </w:rPr>
      </w:pPr>
      <w:bookmarkStart w:id="1580" w:name="_Toc23590"/>
      <w:bookmarkStart w:id="1581" w:name="_Toc67418797"/>
      <w:r>
        <w:rPr>
          <w:rFonts w:hint="eastAsia" w:ascii="宋体" w:hAnsi="宋体" w:eastAsia="宋体" w:cs="宋体"/>
          <w:sz w:val="24"/>
        </w:rPr>
        <w:t>20.9 询价采购</w:t>
      </w:r>
      <w:bookmarkEnd w:id="1580"/>
      <w:bookmarkEnd w:id="1581"/>
    </w:p>
    <w:p>
      <w:pPr>
        <w:spacing w:line="360" w:lineRule="auto"/>
        <w:ind w:firstLine="480"/>
        <w:jc w:val="left"/>
        <w:rPr>
          <w:rFonts w:hint="eastAsia" w:ascii="宋体" w:hAnsi="宋体" w:eastAsia="宋体" w:cs="宋体"/>
          <w:sz w:val="24"/>
          <w:u w:val="single"/>
        </w:rPr>
      </w:pPr>
      <w:r>
        <w:rPr>
          <w:rFonts w:hint="eastAsia" w:ascii="宋体" w:hAnsi="宋体" w:eastAsia="宋体" w:cs="宋体"/>
          <w:sz w:val="24"/>
        </w:rPr>
        <w:t>(2)询价采购的网络服务平台为：</w:t>
      </w:r>
      <w:r>
        <w:rPr>
          <w:rFonts w:hint="eastAsia" w:ascii="宋体" w:hAnsi="宋体" w:eastAsia="宋体" w:cs="宋体"/>
          <w:sz w:val="24"/>
          <w:u w:val="single"/>
        </w:rPr>
        <w:t xml:space="preserve">                              </w:t>
      </w:r>
    </w:p>
    <w:p>
      <w:pPr>
        <w:spacing w:line="360" w:lineRule="auto"/>
        <w:ind w:firstLine="480"/>
        <w:rPr>
          <w:rFonts w:hint="eastAsia" w:ascii="宋体" w:hAnsi="宋体" w:eastAsia="宋体" w:cs="宋体"/>
          <w:bCs/>
          <w:sz w:val="24"/>
          <w:u w:val="single"/>
        </w:rPr>
      </w:pPr>
      <w:r>
        <w:rPr>
          <w:rFonts w:hint="eastAsia" w:ascii="宋体" w:hAnsi="宋体" w:eastAsia="宋体" w:cs="宋体"/>
          <w:sz w:val="24"/>
        </w:rPr>
        <w:t>(3)①询价采购小组的组成和成立流程等要求为：</w:t>
      </w:r>
      <w:r>
        <w:rPr>
          <w:rFonts w:hint="eastAsia" w:ascii="宋体" w:hAnsi="宋体" w:eastAsia="宋体" w:cs="宋体"/>
          <w:bCs/>
          <w:sz w:val="24"/>
          <w:u w:val="single"/>
        </w:rPr>
        <w:t xml:space="preserve">                              </w:t>
      </w:r>
    </w:p>
    <w:p>
      <w:pPr>
        <w:spacing w:line="360" w:lineRule="auto"/>
        <w:rPr>
          <w:rFonts w:hint="eastAsia" w:ascii="宋体" w:hAnsi="宋体" w:eastAsia="宋体" w:cs="宋体"/>
          <w:sz w:val="24"/>
        </w:rPr>
      </w:pPr>
      <w:r>
        <w:rPr>
          <w:rFonts w:hint="eastAsia" w:ascii="宋体" w:hAnsi="宋体" w:eastAsia="宋体" w:cs="宋体"/>
          <w:bCs/>
          <w:sz w:val="24"/>
          <w:u w:val="single"/>
        </w:rPr>
        <w:t xml:space="preserve">                                                                          </w:t>
      </w:r>
      <w:r>
        <w:rPr>
          <w:rFonts w:hint="eastAsia" w:ascii="宋体" w:hAnsi="宋体" w:eastAsia="宋体" w:cs="宋体"/>
          <w:sz w:val="24"/>
        </w:rPr>
        <w:t>。</w:t>
      </w:r>
    </w:p>
    <w:p>
      <w:pPr>
        <w:spacing w:line="360" w:lineRule="auto"/>
        <w:ind w:firstLine="480"/>
        <w:rPr>
          <w:rFonts w:hint="eastAsia" w:ascii="宋体" w:hAnsi="宋体" w:eastAsia="宋体" w:cs="宋体"/>
          <w:sz w:val="24"/>
        </w:rPr>
      </w:pPr>
      <w:r>
        <w:rPr>
          <w:rFonts w:hint="eastAsia" w:ascii="宋体" w:hAnsi="宋体" w:eastAsia="宋体" w:cs="宋体"/>
          <w:sz w:val="24"/>
        </w:rPr>
        <w:t>②询价采购文件编制和审核流程等要求为：</w:t>
      </w:r>
      <w:r>
        <w:rPr>
          <w:rFonts w:hint="eastAsia" w:ascii="宋体" w:hAnsi="宋体" w:eastAsia="宋体" w:cs="宋体"/>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pStyle w:val="2"/>
        <w:keepNext w:val="0"/>
        <w:keepLines w:val="0"/>
        <w:numPr>
          <w:ilvl w:val="0"/>
          <w:numId w:val="0"/>
        </w:numPr>
        <w:tabs>
          <w:tab w:val="left" w:pos="540"/>
          <w:tab w:val="left" w:pos="720"/>
          <w:tab w:val="left" w:pos="1620"/>
          <w:tab w:val="left" w:pos="2340"/>
        </w:tabs>
        <w:spacing w:before="120" w:after="120"/>
        <w:ind w:left="178"/>
        <w:rPr>
          <w:rFonts w:hint="eastAsia" w:ascii="宋体" w:hAnsi="宋体" w:eastAsia="宋体" w:cs="宋体"/>
        </w:rPr>
      </w:pPr>
      <w:bookmarkStart w:id="1582" w:name="_Toc67418798"/>
      <w:bookmarkStart w:id="1583" w:name="_Toc1483"/>
      <w:bookmarkStart w:id="1584" w:name="_Toc302636013"/>
      <w:r>
        <w:rPr>
          <w:rFonts w:hint="eastAsia" w:ascii="宋体" w:hAnsi="宋体" w:eastAsia="宋体" w:cs="宋体"/>
        </w:rPr>
        <w:t>21暂估价和暂列金额</w:t>
      </w:r>
      <w:bookmarkEnd w:id="1582"/>
      <w:bookmarkEnd w:id="1583"/>
      <w:bookmarkEnd w:id="1584"/>
    </w:p>
    <w:p>
      <w:pPr>
        <w:pStyle w:val="3"/>
        <w:numPr>
          <w:ilvl w:val="0"/>
          <w:numId w:val="0"/>
        </w:numPr>
        <w:tabs>
          <w:tab w:val="left" w:pos="540"/>
          <w:tab w:val="left" w:pos="900"/>
          <w:tab w:val="left" w:pos="2340"/>
        </w:tabs>
        <w:spacing w:before="120" w:after="156"/>
        <w:ind w:left="359"/>
        <w:jc w:val="left"/>
        <w:rPr>
          <w:rFonts w:hint="eastAsia" w:ascii="宋体" w:hAnsi="宋体" w:eastAsia="宋体" w:cs="宋体"/>
          <w:sz w:val="24"/>
        </w:rPr>
      </w:pPr>
      <w:bookmarkStart w:id="1585" w:name="_Toc20637"/>
      <w:bookmarkStart w:id="1586" w:name="_Toc67418799"/>
      <w:bookmarkStart w:id="1587" w:name="_Toc302636014"/>
      <w:r>
        <w:rPr>
          <w:rFonts w:hint="eastAsia" w:ascii="宋体" w:hAnsi="宋体" w:eastAsia="宋体" w:cs="宋体"/>
          <w:sz w:val="24"/>
        </w:rPr>
        <w:t>21.1材料设备暂估价</w:t>
      </w:r>
      <w:bookmarkEnd w:id="1585"/>
      <w:bookmarkEnd w:id="1586"/>
      <w:bookmarkEnd w:id="1587"/>
    </w:p>
    <w:p>
      <w:pPr>
        <w:spacing w:line="360" w:lineRule="auto"/>
        <w:ind w:firstLine="480"/>
        <w:jc w:val="left"/>
        <w:rPr>
          <w:rFonts w:hint="eastAsia" w:ascii="宋体" w:hAnsi="宋体" w:eastAsia="宋体" w:cs="宋体"/>
          <w:sz w:val="24"/>
        </w:rPr>
      </w:pPr>
      <w:r>
        <w:rPr>
          <w:rFonts w:hint="eastAsia" w:ascii="宋体" w:hAnsi="宋体" w:eastAsia="宋体" w:cs="宋体"/>
          <w:sz w:val="24"/>
        </w:rPr>
        <w:t xml:space="preserve">(1)本工程暂估的材料设备的名称、规格、单位和暂估单价见下表：                             (本表可另附页) </w:t>
      </w:r>
    </w:p>
    <w:tbl>
      <w:tblPr>
        <w:tblStyle w:val="38"/>
        <w:tblW w:w="855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62"/>
        <w:gridCol w:w="2630"/>
        <w:gridCol w:w="2288"/>
        <w:gridCol w:w="900"/>
        <w:gridCol w:w="207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trHeight w:val="385" w:hRule="atLeast"/>
        </w:trPr>
        <w:tc>
          <w:tcPr>
            <w:tcW w:w="662"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107" w:right="-107"/>
              <w:jc w:val="center"/>
              <w:rPr>
                <w:rFonts w:hint="eastAsia" w:ascii="宋体" w:hAnsi="宋体" w:eastAsia="宋体" w:cs="宋体"/>
                <w:sz w:val="24"/>
              </w:rPr>
            </w:pPr>
            <w:r>
              <w:rPr>
                <w:rFonts w:hint="eastAsia" w:ascii="宋体" w:hAnsi="宋体" w:eastAsia="宋体" w:cs="宋体"/>
                <w:sz w:val="24"/>
              </w:rPr>
              <w:t>序号</w:t>
            </w:r>
          </w:p>
        </w:tc>
        <w:tc>
          <w:tcPr>
            <w:tcW w:w="2630"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107" w:right="-107"/>
              <w:jc w:val="center"/>
              <w:rPr>
                <w:rFonts w:hint="eastAsia" w:ascii="宋体" w:hAnsi="宋体" w:eastAsia="宋体" w:cs="宋体"/>
                <w:sz w:val="24"/>
              </w:rPr>
            </w:pPr>
            <w:r>
              <w:rPr>
                <w:rFonts w:hint="eastAsia" w:ascii="宋体" w:hAnsi="宋体" w:eastAsia="宋体" w:cs="宋体"/>
                <w:sz w:val="24"/>
              </w:rPr>
              <w:t>暂估的材料设备名称</w:t>
            </w:r>
          </w:p>
        </w:tc>
        <w:tc>
          <w:tcPr>
            <w:tcW w:w="22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107" w:right="-107"/>
              <w:jc w:val="center"/>
              <w:rPr>
                <w:rFonts w:hint="eastAsia" w:ascii="宋体" w:hAnsi="宋体" w:eastAsia="宋体" w:cs="宋体"/>
                <w:sz w:val="24"/>
              </w:rPr>
            </w:pPr>
            <w:r>
              <w:rPr>
                <w:rFonts w:hint="eastAsia" w:ascii="宋体" w:hAnsi="宋体" w:eastAsia="宋体" w:cs="宋体"/>
                <w:sz w:val="24"/>
              </w:rPr>
              <w:t>规格</w:t>
            </w:r>
          </w:p>
        </w:tc>
        <w:tc>
          <w:tcPr>
            <w:tcW w:w="9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right="-107"/>
              <w:jc w:val="center"/>
              <w:rPr>
                <w:rFonts w:hint="eastAsia" w:ascii="宋体" w:hAnsi="宋体" w:eastAsia="宋体" w:cs="宋体"/>
                <w:sz w:val="24"/>
              </w:rPr>
            </w:pPr>
            <w:r>
              <w:rPr>
                <w:rFonts w:hint="eastAsia" w:ascii="宋体" w:hAnsi="宋体" w:eastAsia="宋体" w:cs="宋体"/>
                <w:sz w:val="24"/>
              </w:rPr>
              <w:t>单位</w:t>
            </w:r>
          </w:p>
        </w:tc>
        <w:tc>
          <w:tcPr>
            <w:tcW w:w="2074"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107" w:right="-107"/>
              <w:jc w:val="center"/>
              <w:rPr>
                <w:rFonts w:hint="eastAsia" w:ascii="宋体" w:hAnsi="宋体" w:eastAsia="宋体" w:cs="宋体"/>
                <w:sz w:val="24"/>
              </w:rPr>
            </w:pPr>
            <w:r>
              <w:rPr>
                <w:rFonts w:hint="eastAsia" w:ascii="宋体" w:hAnsi="宋体" w:eastAsia="宋体" w:cs="宋体"/>
                <w:sz w:val="24"/>
              </w:rPr>
              <w:t>暂估单价（元）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77" w:hRule="atLeast"/>
        </w:trPr>
        <w:tc>
          <w:tcPr>
            <w:tcW w:w="66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1</w:t>
            </w:r>
          </w:p>
        </w:tc>
        <w:tc>
          <w:tcPr>
            <w:tcW w:w="2630"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2288"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900"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2074"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00" w:hRule="atLeast"/>
        </w:trPr>
        <w:tc>
          <w:tcPr>
            <w:tcW w:w="66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2</w:t>
            </w:r>
          </w:p>
        </w:tc>
        <w:tc>
          <w:tcPr>
            <w:tcW w:w="2630"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2288"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900"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2074"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92" w:hRule="atLeast"/>
        </w:trPr>
        <w:tc>
          <w:tcPr>
            <w:tcW w:w="66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3</w:t>
            </w:r>
          </w:p>
        </w:tc>
        <w:tc>
          <w:tcPr>
            <w:tcW w:w="2630"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2288"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900"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2074"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54" w:hRule="atLeast"/>
        </w:trPr>
        <w:tc>
          <w:tcPr>
            <w:tcW w:w="66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4</w:t>
            </w:r>
          </w:p>
        </w:tc>
        <w:tc>
          <w:tcPr>
            <w:tcW w:w="2630"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2288"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900"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2074"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54" w:hRule="atLeast"/>
        </w:trPr>
        <w:tc>
          <w:tcPr>
            <w:tcW w:w="66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5</w:t>
            </w:r>
          </w:p>
        </w:tc>
        <w:tc>
          <w:tcPr>
            <w:tcW w:w="2630"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2288"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900"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2074"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31" w:hRule="atLeast"/>
        </w:trPr>
        <w:tc>
          <w:tcPr>
            <w:tcW w:w="66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6</w:t>
            </w:r>
          </w:p>
        </w:tc>
        <w:tc>
          <w:tcPr>
            <w:tcW w:w="2630"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2288"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900"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2074"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31" w:hRule="atLeast"/>
        </w:trPr>
        <w:tc>
          <w:tcPr>
            <w:tcW w:w="66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w:t>
            </w:r>
          </w:p>
        </w:tc>
        <w:tc>
          <w:tcPr>
            <w:tcW w:w="2630"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2288"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900"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2074"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r>
    </w:tbl>
    <w:p>
      <w:pPr>
        <w:spacing w:line="360" w:lineRule="auto"/>
        <w:ind w:firstLine="480"/>
        <w:jc w:val="left"/>
        <w:rPr>
          <w:rFonts w:hint="eastAsia" w:ascii="宋体" w:hAnsi="宋体" w:eastAsia="宋体" w:cs="宋体"/>
          <w:sz w:val="24"/>
        </w:rPr>
      </w:pPr>
      <w:bookmarkStart w:id="1588" w:name="_Toc302636015"/>
      <w:r>
        <w:rPr>
          <w:rFonts w:hint="eastAsia" w:ascii="宋体" w:hAnsi="宋体" w:eastAsia="宋体" w:cs="宋体"/>
          <w:sz w:val="24"/>
        </w:rPr>
        <w:t>(3)如21.1⑴款所述暂估的材料设备不属于按规定必须招标的，按照以下方式确定该材料设备单价：</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pStyle w:val="3"/>
        <w:numPr>
          <w:ilvl w:val="0"/>
          <w:numId w:val="0"/>
        </w:numPr>
        <w:tabs>
          <w:tab w:val="left" w:pos="540"/>
          <w:tab w:val="left" w:pos="900"/>
          <w:tab w:val="left" w:pos="2340"/>
        </w:tabs>
        <w:spacing w:before="120" w:after="156"/>
        <w:ind w:left="359"/>
        <w:jc w:val="left"/>
        <w:rPr>
          <w:rFonts w:hint="eastAsia" w:ascii="宋体" w:hAnsi="宋体" w:eastAsia="宋体" w:cs="宋体"/>
          <w:sz w:val="24"/>
        </w:rPr>
      </w:pPr>
      <w:bookmarkStart w:id="1589" w:name="_Toc31826"/>
      <w:bookmarkStart w:id="1590" w:name="_Toc67418800"/>
      <w:r>
        <w:rPr>
          <w:rFonts w:hint="eastAsia" w:ascii="宋体" w:hAnsi="宋体" w:eastAsia="宋体" w:cs="宋体"/>
          <w:sz w:val="24"/>
        </w:rPr>
        <w:t>21.2专业工程暂估价</w:t>
      </w:r>
      <w:bookmarkEnd w:id="1577"/>
      <w:bookmarkEnd w:id="1588"/>
      <w:bookmarkEnd w:id="1589"/>
      <w:bookmarkEnd w:id="1590"/>
    </w:p>
    <w:p>
      <w:pPr>
        <w:spacing w:line="360" w:lineRule="auto"/>
        <w:ind w:firstLine="480"/>
        <w:jc w:val="left"/>
        <w:rPr>
          <w:rFonts w:hint="eastAsia" w:ascii="宋体" w:hAnsi="宋体" w:eastAsia="宋体" w:cs="宋体"/>
          <w:sz w:val="24"/>
        </w:rPr>
      </w:pPr>
      <w:r>
        <w:rPr>
          <w:rFonts w:hint="eastAsia" w:ascii="宋体" w:hAnsi="宋体" w:eastAsia="宋体" w:cs="宋体"/>
          <w:sz w:val="24"/>
        </w:rPr>
        <w:t>(1)本工程暂估的专业工程的名称和暂估价款：                                              (本表可另附页)</w:t>
      </w:r>
    </w:p>
    <w:tbl>
      <w:tblPr>
        <w:tblStyle w:val="38"/>
        <w:tblW w:w="8460"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5040"/>
        <w:gridCol w:w="25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85" w:hRule="atLeast"/>
        </w:trPr>
        <w:tc>
          <w:tcPr>
            <w:tcW w:w="9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107" w:right="-107"/>
              <w:jc w:val="center"/>
              <w:rPr>
                <w:rFonts w:hint="eastAsia" w:ascii="宋体" w:hAnsi="宋体" w:eastAsia="宋体" w:cs="宋体"/>
                <w:sz w:val="24"/>
              </w:rPr>
            </w:pPr>
            <w:r>
              <w:rPr>
                <w:rFonts w:hint="eastAsia" w:ascii="宋体" w:hAnsi="宋体" w:eastAsia="宋体" w:cs="宋体"/>
                <w:sz w:val="24"/>
              </w:rPr>
              <w:t>序号</w:t>
            </w:r>
          </w:p>
        </w:tc>
        <w:tc>
          <w:tcPr>
            <w:tcW w:w="50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107" w:right="-107"/>
              <w:jc w:val="center"/>
              <w:rPr>
                <w:rFonts w:hint="eastAsia" w:ascii="宋体" w:hAnsi="宋体" w:eastAsia="宋体" w:cs="宋体"/>
                <w:sz w:val="24"/>
              </w:rPr>
            </w:pPr>
            <w:r>
              <w:rPr>
                <w:rFonts w:hint="eastAsia" w:ascii="宋体" w:hAnsi="宋体" w:eastAsia="宋体" w:cs="宋体"/>
                <w:sz w:val="24"/>
              </w:rPr>
              <w:t>暂估的专业工程名称</w:t>
            </w:r>
          </w:p>
        </w:tc>
        <w:tc>
          <w:tcPr>
            <w:tcW w:w="2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107" w:right="-107"/>
              <w:jc w:val="center"/>
              <w:rPr>
                <w:rFonts w:hint="eastAsia" w:ascii="宋体" w:hAnsi="宋体" w:eastAsia="宋体" w:cs="宋体"/>
                <w:sz w:val="24"/>
              </w:rPr>
            </w:pPr>
            <w:r>
              <w:rPr>
                <w:rFonts w:hint="eastAsia" w:ascii="宋体" w:hAnsi="宋体" w:eastAsia="宋体" w:cs="宋体"/>
                <w:sz w:val="24"/>
              </w:rPr>
              <w:t>暂估价款(万元)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77" w:hRule="atLeast"/>
        </w:trPr>
        <w:tc>
          <w:tcPr>
            <w:tcW w:w="9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1</w:t>
            </w:r>
          </w:p>
        </w:tc>
        <w:tc>
          <w:tcPr>
            <w:tcW w:w="5040"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2520"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00" w:hRule="atLeast"/>
        </w:trPr>
        <w:tc>
          <w:tcPr>
            <w:tcW w:w="9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2</w:t>
            </w:r>
          </w:p>
        </w:tc>
        <w:tc>
          <w:tcPr>
            <w:tcW w:w="5040"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2520"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92" w:hRule="atLeast"/>
        </w:trPr>
        <w:tc>
          <w:tcPr>
            <w:tcW w:w="9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3</w:t>
            </w:r>
          </w:p>
        </w:tc>
        <w:tc>
          <w:tcPr>
            <w:tcW w:w="5040"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2520"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54" w:hRule="atLeast"/>
        </w:trPr>
        <w:tc>
          <w:tcPr>
            <w:tcW w:w="9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4</w:t>
            </w:r>
          </w:p>
        </w:tc>
        <w:tc>
          <w:tcPr>
            <w:tcW w:w="5040"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2520"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31" w:hRule="atLeast"/>
        </w:trPr>
        <w:tc>
          <w:tcPr>
            <w:tcW w:w="9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5</w:t>
            </w:r>
          </w:p>
        </w:tc>
        <w:tc>
          <w:tcPr>
            <w:tcW w:w="5040"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2520"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31" w:hRule="atLeast"/>
        </w:trPr>
        <w:tc>
          <w:tcPr>
            <w:tcW w:w="9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w:t>
            </w:r>
          </w:p>
        </w:tc>
        <w:tc>
          <w:tcPr>
            <w:tcW w:w="5040"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2520"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31" w:hRule="atLeast"/>
        </w:trPr>
        <w:tc>
          <w:tcPr>
            <w:tcW w:w="9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合计</w:t>
            </w:r>
          </w:p>
        </w:tc>
        <w:tc>
          <w:tcPr>
            <w:tcW w:w="5040"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c>
          <w:tcPr>
            <w:tcW w:w="2520" w:type="dxa"/>
            <w:tcBorders>
              <w:top w:val="single" w:color="auto" w:sz="4" w:space="0"/>
              <w:left w:val="single" w:color="auto" w:sz="4" w:space="0"/>
              <w:bottom w:val="single" w:color="auto" w:sz="4" w:space="0"/>
              <w:right w:val="single" w:color="auto" w:sz="4" w:space="0"/>
            </w:tcBorders>
            <w:noWrap w:val="0"/>
            <w:vAlign w:val="bottom"/>
          </w:tcPr>
          <w:p>
            <w:pPr>
              <w:spacing w:line="360" w:lineRule="auto"/>
              <w:rPr>
                <w:rFonts w:hint="eastAsia" w:ascii="宋体" w:hAnsi="宋体" w:eastAsia="宋体" w:cs="宋体"/>
                <w:sz w:val="24"/>
              </w:rPr>
            </w:pPr>
          </w:p>
        </w:tc>
      </w:tr>
    </w:tbl>
    <w:p>
      <w:pPr>
        <w:spacing w:line="360" w:lineRule="auto"/>
        <w:ind w:firstLine="480"/>
        <w:rPr>
          <w:rFonts w:hint="eastAsia" w:ascii="宋体" w:hAnsi="宋体" w:eastAsia="宋体" w:cs="宋体"/>
          <w:sz w:val="24"/>
        </w:rPr>
      </w:pPr>
      <w:r>
        <w:rPr>
          <w:rFonts w:hint="eastAsia" w:ascii="宋体" w:hAnsi="宋体" w:eastAsia="宋体" w:cs="宋体"/>
          <w:sz w:val="24"/>
        </w:rPr>
        <w:t xml:space="preserve"> (3)不属于按规定必须招标的暂估的专业工程结算价款的确定方法：</w:t>
      </w:r>
      <w:r>
        <w:rPr>
          <w:rFonts w:hint="eastAsia" w:ascii="宋体" w:hAnsi="宋体" w:eastAsia="宋体" w:cs="宋体"/>
          <w:sz w:val="24"/>
          <w:u w:val="single"/>
        </w:rPr>
        <w:t xml:space="preserve">                   </w:t>
      </w:r>
    </w:p>
    <w:p>
      <w:pPr>
        <w:spacing w:line="360" w:lineRule="auto"/>
        <w:rPr>
          <w:rFonts w:hint="eastAsia" w:ascii="宋体" w:hAnsi="宋体" w:eastAsia="宋体" w:cs="宋体"/>
          <w:bCs/>
          <w:sz w:val="24"/>
          <w:u w:val="single"/>
        </w:rPr>
      </w:pPr>
      <w:bookmarkStart w:id="1591" w:name="_Toc35656542"/>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pStyle w:val="2"/>
        <w:keepNext w:val="0"/>
        <w:keepLines w:val="0"/>
        <w:numPr>
          <w:ilvl w:val="0"/>
          <w:numId w:val="0"/>
        </w:numPr>
        <w:tabs>
          <w:tab w:val="left" w:pos="540"/>
          <w:tab w:val="left" w:pos="720"/>
          <w:tab w:val="left" w:pos="1620"/>
          <w:tab w:val="left" w:pos="2340"/>
        </w:tabs>
        <w:spacing w:before="120" w:after="120"/>
        <w:ind w:left="178"/>
        <w:rPr>
          <w:rFonts w:hint="eastAsia" w:ascii="宋体" w:hAnsi="宋体" w:eastAsia="宋体" w:cs="宋体"/>
        </w:rPr>
      </w:pPr>
      <w:bookmarkStart w:id="1592" w:name="_Toc27239"/>
      <w:bookmarkStart w:id="1593" w:name="_Toc302636016"/>
      <w:bookmarkStart w:id="1594" w:name="_Toc67418801"/>
      <w:bookmarkStart w:id="1595" w:name="_Toc305331493"/>
      <w:r>
        <w:rPr>
          <w:rFonts w:hint="eastAsia" w:ascii="宋体" w:hAnsi="宋体" w:eastAsia="宋体" w:cs="宋体"/>
        </w:rPr>
        <w:t>22 工程量</w:t>
      </w:r>
      <w:bookmarkEnd w:id="1591"/>
      <w:r>
        <w:rPr>
          <w:rFonts w:hint="eastAsia" w:ascii="宋体" w:hAnsi="宋体" w:eastAsia="宋体" w:cs="宋体"/>
        </w:rPr>
        <w:t>计量</w:t>
      </w:r>
      <w:bookmarkEnd w:id="1592"/>
      <w:bookmarkEnd w:id="1593"/>
      <w:bookmarkEnd w:id="1594"/>
      <w:bookmarkEnd w:id="1595"/>
    </w:p>
    <w:p>
      <w:pPr>
        <w:pStyle w:val="3"/>
        <w:numPr>
          <w:ilvl w:val="0"/>
          <w:numId w:val="0"/>
        </w:numPr>
        <w:tabs>
          <w:tab w:val="left" w:pos="540"/>
          <w:tab w:val="left" w:pos="900"/>
          <w:tab w:val="left" w:pos="2340"/>
        </w:tabs>
        <w:spacing w:before="120" w:after="156"/>
        <w:ind w:left="359"/>
        <w:jc w:val="left"/>
        <w:rPr>
          <w:rFonts w:hint="eastAsia" w:ascii="宋体" w:hAnsi="宋体" w:eastAsia="宋体" w:cs="宋体"/>
          <w:sz w:val="24"/>
        </w:rPr>
      </w:pPr>
      <w:bookmarkStart w:id="1596" w:name="_Toc302636017"/>
      <w:bookmarkStart w:id="1597" w:name="_Toc67418802"/>
      <w:bookmarkStart w:id="1598" w:name="_Toc19325"/>
      <w:bookmarkStart w:id="1599" w:name="_Toc305331494"/>
      <w:r>
        <w:rPr>
          <w:rFonts w:hint="eastAsia" w:ascii="宋体" w:hAnsi="宋体" w:eastAsia="宋体" w:cs="宋体"/>
          <w:sz w:val="24"/>
        </w:rPr>
        <w:t>22.3工程量计算规则</w:t>
      </w:r>
      <w:bookmarkEnd w:id="1596"/>
      <w:bookmarkEnd w:id="1597"/>
      <w:bookmarkEnd w:id="1598"/>
      <w:bookmarkEnd w:id="1599"/>
    </w:p>
    <w:p>
      <w:pPr>
        <w:spacing w:line="360" w:lineRule="auto"/>
        <w:ind w:firstLine="480"/>
        <w:rPr>
          <w:rFonts w:hint="eastAsia" w:ascii="宋体" w:hAnsi="宋体" w:eastAsia="宋体" w:cs="宋体"/>
          <w:sz w:val="24"/>
          <w:u w:val="single"/>
        </w:rPr>
      </w:pPr>
      <w:r>
        <w:rPr>
          <w:rFonts w:hint="eastAsia" w:ascii="宋体" w:hAnsi="宋体" w:eastAsia="宋体" w:cs="宋体"/>
          <w:sz w:val="24"/>
        </w:rPr>
        <w:t>本工程的工程量计算规则采用：</w:t>
      </w:r>
    </w:p>
    <w:p>
      <w:pPr>
        <w:spacing w:line="360" w:lineRule="auto"/>
        <w:ind w:left="178" w:firstLine="480"/>
        <w:rPr>
          <w:rFonts w:hint="eastAsia" w:ascii="宋体" w:hAnsi="宋体" w:eastAsia="宋体" w:cs="宋体"/>
          <w:sz w:val="24"/>
        </w:rPr>
      </w:pPr>
      <w:r>
        <w:rPr>
          <w:rFonts w:hint="eastAsia" w:ascii="宋体" w:hAnsi="宋体" w:eastAsia="宋体" w:cs="宋体"/>
          <w:sz w:val="24"/>
        </w:rPr>
        <w:drawing>
          <wp:inline distT="0" distB="0" distL="114300" distR="114300">
            <wp:extent cx="152400" cy="142875"/>
            <wp:effectExtent l="0" t="0" r="0" b="9525"/>
            <wp:docPr id="163"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 name="图片 108"/>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sz w:val="24"/>
        </w:rPr>
        <w:t>《建设工程工程量清单计价规范》(GB50500—2013)；</w:t>
      </w:r>
    </w:p>
    <w:p>
      <w:pPr>
        <w:spacing w:line="360" w:lineRule="auto"/>
        <w:ind w:left="178" w:firstLine="480"/>
        <w:rPr>
          <w:rFonts w:hint="eastAsia" w:ascii="宋体" w:hAnsi="宋体" w:eastAsia="宋体" w:cs="宋体"/>
          <w:sz w:val="24"/>
        </w:rPr>
      </w:pPr>
      <w:r>
        <w:rPr>
          <w:rFonts w:hint="eastAsia" w:ascii="宋体" w:hAnsi="宋体" w:eastAsia="宋体" w:cs="宋体"/>
          <w:sz w:val="24"/>
        </w:rPr>
        <w:drawing>
          <wp:inline distT="0" distB="0" distL="114300" distR="114300">
            <wp:extent cx="152400" cy="142875"/>
            <wp:effectExtent l="0" t="0" r="0" b="9525"/>
            <wp:docPr id="175"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 name="图片 109"/>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sz w:val="24"/>
        </w:rPr>
        <w:t>《深圳市建设工程计价规程》（2017）；</w:t>
      </w:r>
    </w:p>
    <w:p>
      <w:pPr>
        <w:spacing w:line="360" w:lineRule="auto"/>
        <w:ind w:left="178" w:firstLine="480"/>
        <w:rPr>
          <w:rFonts w:hint="eastAsia" w:ascii="宋体" w:hAnsi="宋体" w:eastAsia="宋体" w:cs="宋体"/>
        </w:rPr>
      </w:pPr>
      <w:r>
        <w:rPr>
          <w:rFonts w:hint="eastAsia" w:ascii="宋体" w:hAnsi="宋体" w:eastAsia="宋体" w:cs="宋体"/>
        </w:rPr>
        <w:drawing>
          <wp:inline distT="0" distB="0" distL="114300" distR="114300">
            <wp:extent cx="152400" cy="142875"/>
            <wp:effectExtent l="0" t="0" r="0" b="9525"/>
            <wp:docPr id="158"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图片 110"/>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sz w:val="24"/>
        </w:rPr>
        <w:t xml:space="preserve">其它工程量计算规则： </w:t>
      </w:r>
    </w:p>
    <w:p>
      <w:pPr>
        <w:spacing w:line="360" w:lineRule="auto"/>
        <w:rPr>
          <w:rFonts w:hint="eastAsia" w:ascii="宋体" w:hAnsi="宋体" w:eastAsia="宋体" w:cs="宋体"/>
          <w:bCs/>
          <w:sz w:val="24"/>
          <w:u w:val="single"/>
        </w:rPr>
      </w:pPr>
      <w:bookmarkStart w:id="1600" w:name="_Toc305331495"/>
      <w:bookmarkStart w:id="1601" w:name="_Toc302636018"/>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pStyle w:val="2"/>
        <w:keepNext w:val="0"/>
        <w:keepLines w:val="0"/>
        <w:numPr>
          <w:ilvl w:val="0"/>
          <w:numId w:val="0"/>
        </w:numPr>
        <w:tabs>
          <w:tab w:val="left" w:pos="540"/>
          <w:tab w:val="left" w:pos="720"/>
          <w:tab w:val="left" w:pos="1620"/>
          <w:tab w:val="left" w:pos="2340"/>
        </w:tabs>
        <w:spacing w:before="120" w:after="120"/>
        <w:ind w:left="178"/>
        <w:rPr>
          <w:rFonts w:hint="eastAsia" w:ascii="宋体" w:hAnsi="宋体" w:eastAsia="宋体" w:cs="宋体"/>
        </w:rPr>
      </w:pPr>
      <w:bookmarkStart w:id="1602" w:name="_Toc26984"/>
      <w:bookmarkStart w:id="1603" w:name="_Toc67418803"/>
      <w:r>
        <w:rPr>
          <w:rFonts w:hint="eastAsia" w:ascii="宋体" w:hAnsi="宋体" w:eastAsia="宋体" w:cs="宋体"/>
        </w:rPr>
        <w:t>23 工程款支付</w:t>
      </w:r>
      <w:bookmarkEnd w:id="1600"/>
      <w:bookmarkEnd w:id="1601"/>
      <w:bookmarkEnd w:id="1602"/>
      <w:bookmarkEnd w:id="1603"/>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604" w:name="_Toc302636019"/>
      <w:bookmarkStart w:id="1605" w:name="_Toc305331496"/>
      <w:bookmarkStart w:id="1606" w:name="_Toc17046"/>
      <w:bookmarkStart w:id="1607" w:name="_Toc67418804"/>
      <w:r>
        <w:rPr>
          <w:rFonts w:hint="eastAsia" w:ascii="宋体" w:hAnsi="宋体" w:eastAsia="宋体" w:cs="宋体"/>
          <w:sz w:val="24"/>
        </w:rPr>
        <w:t>23.1 工程预付款</w:t>
      </w:r>
      <w:bookmarkEnd w:id="1604"/>
      <w:bookmarkEnd w:id="1605"/>
      <w:bookmarkEnd w:id="1606"/>
      <w:bookmarkEnd w:id="1607"/>
    </w:p>
    <w:p>
      <w:pPr>
        <w:spacing w:line="360" w:lineRule="auto"/>
        <w:ind w:firstLine="480"/>
        <w:rPr>
          <w:rFonts w:hint="eastAsia" w:ascii="宋体" w:hAnsi="宋体" w:eastAsia="宋体" w:cs="宋体"/>
          <w:sz w:val="24"/>
        </w:rPr>
      </w:pPr>
      <w:r>
        <w:rPr>
          <w:rFonts w:hint="eastAsia" w:ascii="宋体" w:hAnsi="宋体" w:eastAsia="宋体" w:cs="宋体"/>
          <w:sz w:val="24"/>
        </w:rPr>
        <w:t>(1)本工程的工程预付款比例为签约合同价的</w:t>
      </w:r>
      <w:r>
        <w:rPr>
          <w:rFonts w:hint="eastAsia" w:ascii="宋体" w:hAnsi="宋体" w:eastAsia="宋体" w:cs="宋体"/>
          <w:sz w:val="24"/>
          <w:u w:val="single"/>
        </w:rPr>
        <w:t xml:space="preserve">    %</w:t>
      </w:r>
      <w:r>
        <w:rPr>
          <w:rFonts w:hint="eastAsia" w:ascii="宋体" w:hAnsi="宋体" w:eastAsia="宋体" w:cs="宋体"/>
          <w:sz w:val="24"/>
        </w:rPr>
        <w:t>，即：</w:t>
      </w:r>
      <w:r>
        <w:rPr>
          <w:rFonts w:hint="eastAsia" w:ascii="宋体" w:hAnsi="宋体" w:eastAsia="宋体" w:cs="宋体"/>
          <w:sz w:val="24"/>
          <w:u w:val="single"/>
        </w:rPr>
        <w:t xml:space="preserve">￥               </w:t>
      </w:r>
      <w:r>
        <w:rPr>
          <w:rFonts w:hint="eastAsia" w:ascii="宋体" w:hAnsi="宋体" w:eastAsia="宋体" w:cs="宋体"/>
          <w:sz w:val="24"/>
        </w:rPr>
        <w:t>。</w:t>
      </w:r>
    </w:p>
    <w:p>
      <w:pPr>
        <w:spacing w:line="360" w:lineRule="auto"/>
        <w:ind w:firstLine="840"/>
        <w:rPr>
          <w:rFonts w:hint="eastAsia" w:ascii="宋体" w:hAnsi="宋体" w:eastAsia="宋体" w:cs="宋体"/>
          <w:sz w:val="24"/>
        </w:rPr>
      </w:pPr>
      <w:r>
        <w:rPr>
          <w:rFonts w:hint="eastAsia" w:ascii="宋体" w:hAnsi="宋体" w:eastAsia="宋体" w:cs="宋体"/>
          <w:sz w:val="24"/>
        </w:rPr>
        <w:t>其中，施工现场安全文明措施费预付款的金额：</w:t>
      </w:r>
      <w:r>
        <w:rPr>
          <w:rFonts w:hint="eastAsia" w:ascii="宋体" w:hAnsi="宋体" w:eastAsia="宋体" w:cs="宋体"/>
          <w:sz w:val="24"/>
          <w:u w:val="single"/>
        </w:rPr>
        <w:t xml:space="preserve">￥                  </w:t>
      </w:r>
      <w:r>
        <w:rPr>
          <w:rFonts w:hint="eastAsia" w:ascii="宋体" w:hAnsi="宋体" w:eastAsia="宋体" w:cs="宋体"/>
          <w:sz w:val="24"/>
        </w:rPr>
        <w:t>。</w:t>
      </w:r>
    </w:p>
    <w:p>
      <w:pPr>
        <w:spacing w:line="360" w:lineRule="auto"/>
        <w:ind w:firstLine="480"/>
        <w:rPr>
          <w:rFonts w:hint="eastAsia" w:ascii="宋体" w:hAnsi="宋体" w:eastAsia="宋体" w:cs="宋体"/>
          <w:sz w:val="24"/>
        </w:rPr>
      </w:pPr>
      <w:r>
        <w:rPr>
          <w:rFonts w:hint="eastAsia" w:ascii="宋体" w:hAnsi="宋体" w:eastAsia="宋体" w:cs="宋体"/>
          <w:sz w:val="24"/>
        </w:rPr>
        <w:t>(2)关于本工程预付款担保的约定：</w:t>
      </w:r>
      <w:r>
        <w:rPr>
          <w:rFonts w:hint="eastAsia" w:ascii="宋体" w:hAnsi="宋体" w:eastAsia="宋体" w:cs="宋体"/>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spacing w:line="360" w:lineRule="auto"/>
        <w:ind w:firstLine="480"/>
        <w:rPr>
          <w:rFonts w:hint="eastAsia" w:ascii="宋体" w:hAnsi="宋体" w:eastAsia="宋体" w:cs="宋体"/>
          <w:sz w:val="24"/>
          <w:u w:val="single"/>
        </w:rPr>
      </w:pPr>
      <w:r>
        <w:rPr>
          <w:rFonts w:hint="eastAsia" w:ascii="宋体" w:hAnsi="宋体" w:eastAsia="宋体" w:cs="宋体"/>
          <w:sz w:val="24"/>
        </w:rPr>
        <w:t>(3)发包人向承包人支付工程预付款的时间：</w:t>
      </w:r>
      <w:r>
        <w:rPr>
          <w:rFonts w:hint="eastAsia" w:ascii="宋体" w:hAnsi="宋体" w:eastAsia="宋体" w:cs="宋体"/>
          <w:sz w:val="24"/>
          <w:u w:val="single"/>
        </w:rPr>
        <w:t xml:space="preserve">                                 </w:t>
      </w:r>
    </w:p>
    <w:p>
      <w:pPr>
        <w:spacing w:line="360" w:lineRule="auto"/>
        <w:ind w:firstLine="840"/>
        <w:rPr>
          <w:rFonts w:hint="eastAsia" w:ascii="宋体" w:hAnsi="宋体" w:eastAsia="宋体" w:cs="宋体"/>
          <w:sz w:val="24"/>
        </w:rPr>
      </w:pPr>
      <w:r>
        <w:rPr>
          <w:rFonts w:hint="eastAsia" w:ascii="宋体" w:hAnsi="宋体" w:eastAsia="宋体" w:cs="宋体"/>
          <w:sz w:val="24"/>
        </w:rPr>
        <w:t>发包人支付预付款之前，还应具备的条件：</w:t>
      </w:r>
      <w:r>
        <w:rPr>
          <w:rFonts w:hint="eastAsia" w:ascii="宋体" w:hAnsi="宋体" w:eastAsia="宋体" w:cs="宋体"/>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spacing w:line="360" w:lineRule="auto"/>
        <w:ind w:firstLine="480"/>
        <w:rPr>
          <w:rFonts w:hint="eastAsia" w:ascii="宋体" w:hAnsi="宋体" w:eastAsia="宋体" w:cs="宋体"/>
          <w:sz w:val="24"/>
        </w:rPr>
      </w:pPr>
      <w:r>
        <w:rPr>
          <w:rFonts w:hint="eastAsia" w:ascii="宋体" w:hAnsi="宋体" w:eastAsia="宋体" w:cs="宋体"/>
          <w:sz w:val="24"/>
        </w:rPr>
        <w:t>(4)工程预付款扣回的起扣点：</w:t>
      </w:r>
      <w:r>
        <w:rPr>
          <w:rFonts w:hint="eastAsia" w:ascii="宋体" w:hAnsi="宋体" w:eastAsia="宋体" w:cs="宋体"/>
          <w:sz w:val="24"/>
          <w:u w:val="single"/>
        </w:rPr>
        <w:t xml:space="preserve">                                             </w:t>
      </w:r>
    </w:p>
    <w:p>
      <w:pPr>
        <w:spacing w:line="360" w:lineRule="auto"/>
        <w:ind w:firstLine="960"/>
        <w:rPr>
          <w:rFonts w:hint="eastAsia" w:ascii="宋体" w:hAnsi="宋体" w:eastAsia="宋体" w:cs="宋体"/>
          <w:sz w:val="24"/>
        </w:rPr>
      </w:pPr>
      <w:r>
        <w:rPr>
          <w:rFonts w:hint="eastAsia" w:ascii="宋体" w:hAnsi="宋体" w:eastAsia="宋体" w:cs="宋体"/>
          <w:sz w:val="24"/>
        </w:rPr>
        <w:t>工程预付款扣回比例：</w:t>
      </w:r>
      <w:r>
        <w:rPr>
          <w:rFonts w:hint="eastAsia" w:ascii="宋体" w:hAnsi="宋体" w:eastAsia="宋体" w:cs="宋体"/>
          <w:sz w:val="24"/>
          <w:u w:val="single"/>
        </w:rPr>
        <w:t xml:space="preserve">                                                </w:t>
      </w:r>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608" w:name="_Toc67418805"/>
      <w:bookmarkStart w:id="1609" w:name="_Toc305331497"/>
      <w:bookmarkStart w:id="1610" w:name="_Toc302636020"/>
      <w:bookmarkStart w:id="1611" w:name="_Toc31470"/>
      <w:r>
        <w:rPr>
          <w:rFonts w:hint="eastAsia" w:ascii="宋体" w:hAnsi="宋体" w:eastAsia="宋体" w:cs="宋体"/>
          <w:sz w:val="24"/>
        </w:rPr>
        <w:t>23.2 期中结算</w:t>
      </w:r>
      <w:bookmarkEnd w:id="1608"/>
      <w:bookmarkEnd w:id="1609"/>
      <w:bookmarkEnd w:id="1610"/>
      <w:bookmarkEnd w:id="1611"/>
    </w:p>
    <w:p>
      <w:pPr>
        <w:spacing w:line="360" w:lineRule="auto"/>
        <w:ind w:firstLine="480"/>
        <w:rPr>
          <w:rFonts w:hint="eastAsia" w:ascii="宋体" w:hAnsi="宋体" w:eastAsia="宋体" w:cs="宋体"/>
          <w:sz w:val="24"/>
        </w:rPr>
      </w:pPr>
      <w:r>
        <w:rPr>
          <w:rFonts w:hint="eastAsia" w:ascii="宋体" w:hAnsi="宋体" w:eastAsia="宋体" w:cs="宋体"/>
          <w:sz w:val="24"/>
        </w:rPr>
        <w:t>(1)本工程办理期中结算与支付的时间间隔为：</w:t>
      </w:r>
      <w:r>
        <w:rPr>
          <w:rFonts w:hint="eastAsia" w:ascii="宋体" w:hAnsi="宋体" w:eastAsia="宋体" w:cs="宋体"/>
          <w:sz w:val="24"/>
          <w:u w:val="single"/>
        </w:rPr>
        <w:t xml:space="preserve">                               </w:t>
      </w:r>
      <w:r>
        <w:rPr>
          <w:rFonts w:hint="eastAsia" w:ascii="宋体" w:hAnsi="宋体" w:eastAsia="宋体" w:cs="宋体"/>
          <w:sz w:val="24"/>
        </w:rPr>
        <w:t xml:space="preserve">   </w:t>
      </w:r>
    </w:p>
    <w:p>
      <w:pPr>
        <w:spacing w:line="360" w:lineRule="auto"/>
        <w:ind w:firstLine="480"/>
        <w:rPr>
          <w:rFonts w:hint="eastAsia" w:ascii="宋体" w:hAnsi="宋体" w:eastAsia="宋体" w:cs="宋体"/>
          <w:sz w:val="24"/>
          <w:u w:val="single"/>
        </w:rPr>
      </w:pPr>
      <w:r>
        <w:rPr>
          <w:rFonts w:hint="eastAsia" w:ascii="宋体" w:hAnsi="宋体" w:eastAsia="宋体" w:cs="宋体"/>
          <w:sz w:val="24"/>
          <w:u w:val="single"/>
        </w:rPr>
        <w:t xml:space="preserve">                                                                        </w:t>
      </w:r>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612" w:name="_Toc67418806"/>
      <w:bookmarkStart w:id="1613" w:name="_Toc12335"/>
      <w:bookmarkStart w:id="1614" w:name="_Toc302636021"/>
      <w:bookmarkStart w:id="1615" w:name="_Toc305331499"/>
      <w:r>
        <w:rPr>
          <w:rFonts w:hint="eastAsia" w:ascii="宋体" w:hAnsi="宋体" w:eastAsia="宋体" w:cs="宋体"/>
          <w:sz w:val="24"/>
        </w:rPr>
        <w:t>23.4 期中支付</w:t>
      </w:r>
      <w:bookmarkEnd w:id="1612"/>
      <w:bookmarkEnd w:id="1613"/>
      <w:bookmarkEnd w:id="1614"/>
      <w:bookmarkEnd w:id="1615"/>
    </w:p>
    <w:p>
      <w:pPr>
        <w:spacing w:line="360" w:lineRule="auto"/>
        <w:ind w:firstLine="480"/>
        <w:rPr>
          <w:rFonts w:hint="eastAsia" w:ascii="宋体" w:hAnsi="宋体" w:eastAsia="宋体" w:cs="宋体"/>
          <w:sz w:val="24"/>
          <w:u w:val="single"/>
        </w:rPr>
      </w:pPr>
      <w:r>
        <w:rPr>
          <w:rFonts w:hint="eastAsia" w:ascii="宋体" w:hAnsi="宋体" w:eastAsia="宋体" w:cs="宋体"/>
          <w:sz w:val="24"/>
        </w:rPr>
        <w:t>(1)期中支付的最低金额为：</w:t>
      </w:r>
      <w:r>
        <w:rPr>
          <w:rFonts w:hint="eastAsia" w:ascii="宋体" w:hAnsi="宋体" w:eastAsia="宋体" w:cs="宋体"/>
          <w:sz w:val="24"/>
          <w:u w:val="single"/>
        </w:rPr>
        <w:t xml:space="preserve">                                               </w:t>
      </w:r>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616" w:name="_Toc67418807"/>
      <w:bookmarkStart w:id="1617" w:name="_Toc14268"/>
      <w:bookmarkStart w:id="1618" w:name="_Toc302636022"/>
      <w:bookmarkStart w:id="1619" w:name="_Toc305331500"/>
      <w:bookmarkStart w:id="1620" w:name="_Toc35656544"/>
      <w:r>
        <w:rPr>
          <w:rFonts w:hint="eastAsia" w:ascii="宋体" w:hAnsi="宋体" w:eastAsia="宋体" w:cs="宋体"/>
          <w:sz w:val="24"/>
        </w:rPr>
        <w:t>23.5 工人工资支付</w:t>
      </w:r>
      <w:bookmarkEnd w:id="1616"/>
      <w:bookmarkEnd w:id="1617"/>
    </w:p>
    <w:p>
      <w:pPr>
        <w:spacing w:line="360" w:lineRule="auto"/>
        <w:ind w:firstLine="480"/>
        <w:rPr>
          <w:rFonts w:hint="eastAsia" w:ascii="宋体" w:hAnsi="宋体" w:eastAsia="宋体" w:cs="宋体"/>
          <w:sz w:val="24"/>
        </w:rPr>
      </w:pPr>
      <w:bookmarkStart w:id="1621" w:name="_Toc453616623"/>
      <w:bookmarkStart w:id="1622" w:name="_Toc448841291"/>
      <w:r>
        <w:rPr>
          <w:rFonts w:hint="eastAsia" w:ascii="宋体" w:hAnsi="宋体" w:eastAsia="宋体" w:cs="宋体"/>
          <w:sz w:val="24"/>
        </w:rPr>
        <w:t>本工程签约合同价中工人工资款比例为：</w:t>
      </w:r>
      <w:r>
        <w:rPr>
          <w:rFonts w:hint="eastAsia" w:ascii="宋体" w:hAnsi="宋体" w:eastAsia="宋体" w:cs="宋体"/>
          <w:sz w:val="24"/>
          <w:u w:val="single"/>
        </w:rPr>
        <w:t xml:space="preserve">                </w:t>
      </w:r>
      <w:r>
        <w:rPr>
          <w:rFonts w:hint="eastAsia" w:ascii="宋体" w:hAnsi="宋体" w:eastAsia="宋体" w:cs="宋体"/>
          <w:sz w:val="24"/>
        </w:rPr>
        <w:t>。（房屋建筑工程占比一般为18%以上，市政工程占比一般为13%以上）</w:t>
      </w:r>
    </w:p>
    <w:p>
      <w:pPr>
        <w:spacing w:line="360" w:lineRule="auto"/>
        <w:ind w:firstLine="480"/>
        <w:rPr>
          <w:rFonts w:hint="eastAsia" w:ascii="宋体" w:hAnsi="宋体" w:eastAsia="宋体" w:cs="宋体"/>
          <w:sz w:val="24"/>
        </w:rPr>
      </w:pPr>
      <w:r>
        <w:rPr>
          <w:rFonts w:hint="eastAsia" w:ascii="宋体" w:hAnsi="宋体" w:eastAsia="宋体" w:cs="宋体"/>
          <w:sz w:val="24"/>
        </w:rPr>
        <w:t>发包人和承包人应结合项目实际，合理确定上述比例。</w:t>
      </w:r>
    </w:p>
    <w:p>
      <w:pPr>
        <w:spacing w:line="360" w:lineRule="auto"/>
        <w:ind w:firstLine="480"/>
        <w:rPr>
          <w:rFonts w:hint="eastAsia" w:ascii="宋体" w:hAnsi="宋体" w:eastAsia="宋体" w:cs="宋体"/>
          <w:sz w:val="24"/>
          <w:u w:val="single"/>
        </w:rPr>
      </w:pPr>
      <w:r>
        <w:rPr>
          <w:rFonts w:hint="eastAsia" w:ascii="宋体" w:hAnsi="宋体" w:eastAsia="宋体" w:cs="宋体"/>
          <w:sz w:val="24"/>
        </w:rPr>
        <w:t>在</w:t>
      </w:r>
      <w:r>
        <w:rPr>
          <w:rFonts w:hint="eastAsia" w:ascii="宋体" w:hAnsi="宋体" w:eastAsia="宋体" w:cs="宋体"/>
          <w:sz w:val="24"/>
          <w:u w:val="single"/>
        </w:rPr>
        <w:t xml:space="preserve">                          </w:t>
      </w:r>
      <w:r>
        <w:rPr>
          <w:rFonts w:hint="eastAsia" w:ascii="宋体" w:hAnsi="宋体" w:eastAsia="宋体" w:cs="宋体"/>
          <w:sz w:val="24"/>
        </w:rPr>
        <w:t>情况下，如因非承包人原因导致按上述比例不足以满足本工程工人工资足额发放的，双方可以协商调整上述比例，具体调整方式为：</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r>
        <w:rPr>
          <w:rFonts w:hint="eastAsia" w:ascii="宋体" w:hAnsi="宋体" w:eastAsia="宋体" w:cs="宋体"/>
          <w:sz w:val="24"/>
        </w:rPr>
        <w:t>。</w:t>
      </w:r>
    </w:p>
    <w:p>
      <w:pPr>
        <w:spacing w:line="360" w:lineRule="auto"/>
        <w:ind w:firstLine="480"/>
        <w:rPr>
          <w:rFonts w:hint="eastAsia" w:ascii="宋体" w:hAnsi="宋体" w:eastAsia="宋体" w:cs="宋体"/>
          <w:sz w:val="24"/>
        </w:rPr>
      </w:pPr>
      <w:r>
        <w:rPr>
          <w:rFonts w:hint="eastAsia" w:ascii="宋体" w:hAnsi="宋体" w:eastAsia="宋体" w:cs="宋体"/>
          <w:sz w:val="24"/>
        </w:rPr>
        <w:t>承包人已确认上述比例及调整的约定，能满足本工程的工人工资足额发放。</w:t>
      </w:r>
    </w:p>
    <w:p>
      <w:pPr>
        <w:spacing w:line="360" w:lineRule="auto"/>
        <w:ind w:firstLine="480"/>
        <w:rPr>
          <w:rFonts w:hint="eastAsia" w:ascii="宋体" w:hAnsi="宋体" w:eastAsia="宋体" w:cs="宋体"/>
          <w:sz w:val="24"/>
        </w:rPr>
      </w:pPr>
      <w:r>
        <w:rPr>
          <w:rFonts w:hint="eastAsia" w:ascii="宋体" w:hAnsi="宋体" w:eastAsia="宋体" w:cs="宋体"/>
          <w:sz w:val="24"/>
        </w:rPr>
        <w:t>发包人支付到工人工资专用账户的工人工资支付周期为：</w:t>
      </w:r>
      <w:r>
        <w:rPr>
          <w:rFonts w:hint="eastAsia" w:ascii="宋体" w:hAnsi="宋体" w:eastAsia="宋体" w:cs="宋体"/>
          <w:sz w:val="24"/>
          <w:u w:val="single"/>
        </w:rPr>
        <w:t xml:space="preserve">                </w:t>
      </w:r>
      <w:r>
        <w:rPr>
          <w:rFonts w:hint="eastAsia" w:ascii="宋体" w:hAnsi="宋体" w:eastAsia="宋体" w:cs="宋体"/>
          <w:sz w:val="24"/>
        </w:rPr>
        <w:t>，该工人工资支付周期不得超过1个月。</w:t>
      </w:r>
    </w:p>
    <w:p>
      <w:pPr>
        <w:spacing w:line="360" w:lineRule="auto"/>
        <w:ind w:firstLine="480"/>
        <w:rPr>
          <w:rFonts w:hint="eastAsia" w:ascii="宋体" w:hAnsi="宋体" w:eastAsia="宋体" w:cs="宋体"/>
          <w:bCs/>
          <w:sz w:val="24"/>
          <w:u w:val="single"/>
        </w:rPr>
      </w:pPr>
      <w:r>
        <w:rPr>
          <w:rFonts w:hint="eastAsia" w:ascii="宋体" w:hAnsi="宋体" w:eastAsia="宋体" w:cs="宋体"/>
          <w:sz w:val="24"/>
        </w:rPr>
        <w:t>本工程工人工资支付的其他约定：</w:t>
      </w:r>
      <w:bookmarkEnd w:id="1621"/>
      <w:bookmarkEnd w:id="1622"/>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623" w:name="_Toc67418808"/>
      <w:bookmarkStart w:id="1624" w:name="_Toc9367"/>
      <w:r>
        <w:rPr>
          <w:rFonts w:hint="eastAsia" w:ascii="宋体" w:hAnsi="宋体" w:eastAsia="宋体" w:cs="宋体"/>
          <w:sz w:val="24"/>
        </w:rPr>
        <w:t>23.6 工程款专款专用</w:t>
      </w:r>
      <w:bookmarkEnd w:id="1618"/>
      <w:bookmarkEnd w:id="1619"/>
      <w:bookmarkEnd w:id="1623"/>
      <w:bookmarkEnd w:id="1624"/>
    </w:p>
    <w:p>
      <w:pPr>
        <w:spacing w:line="360" w:lineRule="auto"/>
        <w:ind w:firstLine="480"/>
        <w:rPr>
          <w:rFonts w:hint="eastAsia" w:ascii="宋体" w:hAnsi="宋体" w:eastAsia="宋体" w:cs="宋体"/>
          <w:sz w:val="24"/>
        </w:rPr>
      </w:pPr>
      <w:r>
        <w:rPr>
          <w:rFonts w:hint="eastAsia" w:ascii="宋体" w:hAnsi="宋体" w:eastAsia="宋体" w:cs="宋体"/>
          <w:sz w:val="24"/>
        </w:rPr>
        <w:t>发包人有权采取以下方式对对承包人的工程款使用情况进行监管：</w:t>
      </w:r>
    </w:p>
    <w:p>
      <w:pPr>
        <w:spacing w:line="360" w:lineRule="auto"/>
        <w:ind w:firstLine="120"/>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rPr>
        <w:drawing>
          <wp:inline distT="0" distB="0" distL="114300" distR="114300">
            <wp:extent cx="152400" cy="142875"/>
            <wp:effectExtent l="0" t="0" r="0" b="9525"/>
            <wp:docPr id="159"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图片 111"/>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b/>
          <w:sz w:val="24"/>
        </w:rPr>
        <w:t>资金共管</w:t>
      </w:r>
      <w:r>
        <w:rPr>
          <w:rFonts w:hint="eastAsia" w:ascii="宋体" w:hAnsi="宋体" w:eastAsia="宋体" w:cs="宋体"/>
          <w:sz w:val="24"/>
        </w:rPr>
        <w:t>：发包人可要求承包人建立共管账户，工程进度款支付到以发包人名义设立的共管账户中，承包人对外向外支付时需得到发包人的批准，并加盖发包人指定人员的印签。资金共管的范围包括但不限于工程预付款、工程进度款、安全文明措施费等。</w:t>
      </w:r>
    </w:p>
    <w:p>
      <w:pPr>
        <w:spacing w:line="360" w:lineRule="auto"/>
        <w:ind w:firstLine="360"/>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rPr>
        <w:drawing>
          <wp:inline distT="0" distB="0" distL="114300" distR="114300">
            <wp:extent cx="152400" cy="142875"/>
            <wp:effectExtent l="0" t="0" r="0" b="9525"/>
            <wp:docPr id="160"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图片 112"/>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b/>
          <w:sz w:val="24"/>
        </w:rPr>
        <w:t>暂停支付</w:t>
      </w:r>
      <w:r>
        <w:rPr>
          <w:rFonts w:hint="eastAsia" w:ascii="宋体" w:hAnsi="宋体" w:eastAsia="宋体" w:cs="宋体"/>
          <w:sz w:val="24"/>
        </w:rPr>
        <w:t>：发包人有权在下一期中支付时暂停支付与承包人挪用款额相等的工程款；</w:t>
      </w:r>
    </w:p>
    <w:p>
      <w:pPr>
        <w:spacing w:line="360" w:lineRule="auto"/>
        <w:ind w:firstLine="120"/>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rPr>
        <w:drawing>
          <wp:inline distT="0" distB="0" distL="114300" distR="114300">
            <wp:extent cx="152400" cy="142875"/>
            <wp:effectExtent l="0" t="0" r="0" b="9525"/>
            <wp:docPr id="161"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图片 113"/>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b/>
          <w:sz w:val="24"/>
        </w:rPr>
        <w:t>代付分包工程款和材料款</w:t>
      </w:r>
      <w:r>
        <w:rPr>
          <w:rFonts w:hint="eastAsia" w:ascii="宋体" w:hAnsi="宋体" w:eastAsia="宋体" w:cs="宋体"/>
          <w:sz w:val="24"/>
        </w:rPr>
        <w:t>：发包人有权根据承包人与分包人(含劳务分包人)、材料供应商的期中结算，在应付承包人的进度款中扣除并代为支付该期分包工程款与材料款；</w:t>
      </w:r>
    </w:p>
    <w:p>
      <w:pPr>
        <w:spacing w:line="360" w:lineRule="auto"/>
        <w:ind w:firstLine="480"/>
        <w:rPr>
          <w:rFonts w:hint="eastAsia" w:ascii="宋体" w:hAnsi="宋体" w:eastAsia="宋体" w:cs="宋体"/>
          <w:sz w:val="24"/>
          <w:u w:val="single"/>
        </w:rPr>
      </w:pPr>
      <w:r>
        <w:rPr>
          <w:rFonts w:hint="eastAsia" w:ascii="宋体" w:hAnsi="宋体" w:eastAsia="宋体" w:cs="宋体"/>
          <w:sz w:val="24"/>
        </w:rPr>
        <w:drawing>
          <wp:inline distT="0" distB="0" distL="114300" distR="114300">
            <wp:extent cx="152400" cy="142875"/>
            <wp:effectExtent l="0" t="0" r="0" b="9525"/>
            <wp:docPr id="166"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图片 114"/>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sz w:val="24"/>
        </w:rPr>
        <w:t>其他：</w:t>
      </w:r>
      <w:r>
        <w:rPr>
          <w:rFonts w:hint="eastAsia" w:ascii="宋体" w:hAnsi="宋体" w:eastAsia="宋体" w:cs="宋体"/>
          <w:kern w:val="0"/>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pStyle w:val="2"/>
        <w:keepNext w:val="0"/>
        <w:keepLines w:val="0"/>
        <w:numPr>
          <w:ilvl w:val="0"/>
          <w:numId w:val="0"/>
        </w:numPr>
        <w:tabs>
          <w:tab w:val="left" w:pos="540"/>
          <w:tab w:val="left" w:pos="720"/>
          <w:tab w:val="left" w:pos="1620"/>
          <w:tab w:val="left" w:pos="2340"/>
        </w:tabs>
        <w:spacing w:before="120" w:after="120"/>
        <w:ind w:left="178"/>
        <w:rPr>
          <w:rFonts w:hint="eastAsia" w:ascii="宋体" w:hAnsi="宋体" w:eastAsia="宋体" w:cs="宋体"/>
        </w:rPr>
      </w:pPr>
      <w:bookmarkStart w:id="1625" w:name="_Toc10034"/>
      <w:bookmarkStart w:id="1626" w:name="_Toc302636023"/>
      <w:bookmarkStart w:id="1627" w:name="_Toc305331501"/>
      <w:bookmarkStart w:id="1628" w:name="_Toc67418809"/>
      <w:r>
        <w:rPr>
          <w:rFonts w:hint="eastAsia" w:ascii="宋体" w:hAnsi="宋体" w:eastAsia="宋体" w:cs="宋体"/>
        </w:rPr>
        <w:t>24 工程变更</w:t>
      </w:r>
      <w:bookmarkEnd w:id="1625"/>
      <w:bookmarkEnd w:id="1626"/>
      <w:bookmarkEnd w:id="1627"/>
      <w:bookmarkEnd w:id="1628"/>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629" w:name="_Toc67418810"/>
      <w:bookmarkStart w:id="1630" w:name="_Toc305331502"/>
      <w:bookmarkStart w:id="1631" w:name="_Toc2251"/>
      <w:bookmarkStart w:id="1632" w:name="_Toc302636024"/>
      <w:r>
        <w:rPr>
          <w:rFonts w:hint="eastAsia" w:ascii="宋体" w:hAnsi="宋体" w:eastAsia="宋体" w:cs="宋体"/>
          <w:sz w:val="24"/>
        </w:rPr>
        <w:t>24.3 工程变更程序</w:t>
      </w:r>
      <w:bookmarkEnd w:id="1629"/>
      <w:bookmarkEnd w:id="1630"/>
      <w:bookmarkEnd w:id="1631"/>
      <w:bookmarkEnd w:id="1632"/>
    </w:p>
    <w:p>
      <w:pPr>
        <w:spacing w:line="360" w:lineRule="auto"/>
        <w:ind w:firstLine="480"/>
        <w:rPr>
          <w:rFonts w:hint="eastAsia" w:ascii="宋体" w:hAnsi="宋体" w:eastAsia="宋体" w:cs="宋体"/>
          <w:sz w:val="24"/>
          <w:u w:val="single"/>
        </w:rPr>
      </w:pPr>
      <w:r>
        <w:rPr>
          <w:rFonts w:hint="eastAsia" w:ascii="宋体" w:hAnsi="宋体" w:eastAsia="宋体" w:cs="宋体"/>
          <w:sz w:val="24"/>
        </w:rPr>
        <w:t>本工程的工程变更(包括设计变更、现场签证等)的管理规定如下：</w:t>
      </w:r>
      <w:r>
        <w:rPr>
          <w:rFonts w:hint="eastAsia" w:ascii="宋体" w:hAnsi="宋体" w:eastAsia="宋体" w:cs="宋体"/>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ind w:firstLine="480" w:firstLineChars="200"/>
        <w:rPr>
          <w:rFonts w:hint="eastAsia" w:ascii="宋体" w:hAnsi="宋体" w:eastAsia="宋体" w:cs="宋体"/>
          <w:bCs/>
          <w:sz w:val="24"/>
          <w:u w:val="single"/>
        </w:rPr>
      </w:pPr>
      <w:r>
        <w:rPr>
          <w:rFonts w:hint="eastAsia" w:ascii="宋体" w:hAnsi="宋体" w:eastAsia="宋体" w:cs="宋体"/>
          <w:sz w:val="24"/>
        </w:rPr>
        <w:t>(6)设计变更超过原设计标准或批复建设规模时，发包人完成审批手续办理的时限为：</w:t>
      </w:r>
      <w:r>
        <w:rPr>
          <w:rFonts w:hint="eastAsia" w:ascii="宋体" w:hAnsi="宋体" w:eastAsia="宋体" w:cs="宋体"/>
          <w:sz w:val="24"/>
          <w:u w:val="single"/>
        </w:rPr>
        <w:t xml:space="preserve">                                                                        </w:t>
      </w:r>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633" w:name="_Toc302636025"/>
      <w:bookmarkStart w:id="1634" w:name="_Toc6386"/>
      <w:bookmarkStart w:id="1635" w:name="_Toc67418811"/>
      <w:bookmarkStart w:id="1636" w:name="_Toc305331504"/>
      <w:r>
        <w:rPr>
          <w:rFonts w:hint="eastAsia" w:ascii="宋体" w:hAnsi="宋体" w:eastAsia="宋体" w:cs="宋体"/>
          <w:sz w:val="24"/>
        </w:rPr>
        <w:t>24.6 价值工程</w:t>
      </w:r>
      <w:bookmarkEnd w:id="1633"/>
      <w:bookmarkEnd w:id="1634"/>
      <w:bookmarkEnd w:id="1635"/>
    </w:p>
    <w:p>
      <w:pPr>
        <w:spacing w:line="360" w:lineRule="auto"/>
        <w:ind w:firstLine="480"/>
        <w:rPr>
          <w:rFonts w:hint="eastAsia" w:ascii="宋体" w:hAnsi="宋体" w:eastAsia="宋体" w:cs="宋体"/>
          <w:sz w:val="24"/>
          <w:u w:val="single"/>
        </w:rPr>
      </w:pPr>
      <w:r>
        <w:rPr>
          <w:rFonts w:hint="eastAsia" w:ascii="宋体" w:hAnsi="宋体" w:eastAsia="宋体" w:cs="宋体"/>
          <w:sz w:val="24"/>
        </w:rPr>
        <w:t>(3)发包人同意采用承包人合理化建议，所发生的费用和获得的收益按以下约定分担或分享：</w:t>
      </w:r>
      <w:r>
        <w:rPr>
          <w:rFonts w:hint="eastAsia" w:ascii="宋体" w:hAnsi="宋体" w:eastAsia="宋体" w:cs="宋体"/>
          <w:sz w:val="24"/>
          <w:u w:val="single"/>
        </w:rPr>
        <w:t xml:space="preserve">                                                                 </w:t>
      </w:r>
    </w:p>
    <w:p>
      <w:pPr>
        <w:spacing w:line="360" w:lineRule="auto"/>
        <w:rPr>
          <w:rFonts w:hint="eastAsia" w:ascii="宋体" w:hAnsi="宋体" w:eastAsia="宋体" w:cs="宋体"/>
          <w:sz w:val="24"/>
          <w:u w:val="single"/>
        </w:rPr>
      </w:pPr>
      <w:r>
        <w:rPr>
          <w:rFonts w:hint="eastAsia" w:ascii="宋体" w:hAnsi="宋体" w:eastAsia="宋体" w:cs="宋体"/>
          <w:sz w:val="24"/>
          <w:u w:val="single"/>
        </w:rPr>
        <w:t xml:space="preserve">                                                                           </w:t>
      </w:r>
    </w:p>
    <w:p>
      <w:pPr>
        <w:pStyle w:val="2"/>
        <w:keepNext w:val="0"/>
        <w:keepLines w:val="0"/>
        <w:numPr>
          <w:ilvl w:val="0"/>
          <w:numId w:val="0"/>
        </w:numPr>
        <w:tabs>
          <w:tab w:val="left" w:pos="540"/>
          <w:tab w:val="left" w:pos="720"/>
          <w:tab w:val="left" w:pos="1620"/>
          <w:tab w:val="left" w:pos="2340"/>
        </w:tabs>
        <w:spacing w:before="120" w:after="120"/>
        <w:ind w:left="178"/>
        <w:rPr>
          <w:rFonts w:hint="eastAsia" w:ascii="宋体" w:hAnsi="宋体" w:eastAsia="宋体" w:cs="宋体"/>
        </w:rPr>
      </w:pPr>
      <w:bookmarkStart w:id="1637" w:name="_Toc302636026"/>
      <w:bookmarkStart w:id="1638" w:name="_Toc13851"/>
      <w:bookmarkStart w:id="1639" w:name="_Toc67418812"/>
      <w:r>
        <w:rPr>
          <w:rFonts w:hint="eastAsia" w:ascii="宋体" w:hAnsi="宋体" w:eastAsia="宋体" w:cs="宋体"/>
        </w:rPr>
        <w:t>25 工程变更</w:t>
      </w:r>
      <w:bookmarkEnd w:id="1620"/>
      <w:r>
        <w:rPr>
          <w:rFonts w:hint="eastAsia" w:ascii="宋体" w:hAnsi="宋体" w:eastAsia="宋体" w:cs="宋体"/>
        </w:rPr>
        <w:t>价款</w:t>
      </w:r>
      <w:bookmarkEnd w:id="1636"/>
      <w:bookmarkEnd w:id="1637"/>
      <w:bookmarkEnd w:id="1638"/>
      <w:bookmarkEnd w:id="1639"/>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640" w:name="_Toc302636027"/>
      <w:bookmarkStart w:id="1641" w:name="_Toc305331505"/>
      <w:bookmarkStart w:id="1642" w:name="_Toc28786"/>
      <w:bookmarkStart w:id="1643" w:name="_Toc67418813"/>
      <w:r>
        <w:rPr>
          <w:rFonts w:hint="eastAsia" w:ascii="宋体" w:hAnsi="宋体" w:eastAsia="宋体" w:cs="宋体"/>
          <w:sz w:val="24"/>
        </w:rPr>
        <w:t>25.1 工程变更价款的确定方法</w:t>
      </w:r>
      <w:bookmarkEnd w:id="1640"/>
      <w:bookmarkEnd w:id="1641"/>
      <w:bookmarkEnd w:id="1642"/>
      <w:bookmarkEnd w:id="1643"/>
    </w:p>
    <w:p>
      <w:pPr>
        <w:spacing w:line="360" w:lineRule="auto"/>
        <w:ind w:firstLine="480"/>
        <w:rPr>
          <w:rFonts w:hint="eastAsia" w:ascii="宋体" w:hAnsi="宋体" w:eastAsia="宋体" w:cs="宋体"/>
          <w:bCs/>
          <w:sz w:val="24"/>
          <w:u w:val="single"/>
        </w:rPr>
      </w:pPr>
      <w:r>
        <w:rPr>
          <w:rFonts w:hint="eastAsia" w:ascii="宋体" w:hAnsi="宋体" w:eastAsia="宋体" w:cs="宋体"/>
          <w:sz w:val="24"/>
        </w:rPr>
        <w:t>(2)合同价格构成中的工程量清单项目单价中只有类似于变更工程的工程量清单项目单价，变更价款的确定方法：</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rPr>
      </w:pPr>
      <w:r>
        <w:rPr>
          <w:rFonts w:hint="eastAsia" w:ascii="宋体" w:hAnsi="宋体" w:eastAsia="宋体" w:cs="宋体"/>
          <w:bCs/>
          <w:sz w:val="24"/>
          <w:u w:val="single"/>
        </w:rPr>
        <w:t xml:space="preserve">                                                                          </w:t>
      </w:r>
      <w:r>
        <w:rPr>
          <w:rFonts w:hint="eastAsia" w:ascii="宋体" w:hAnsi="宋体" w:eastAsia="宋体" w:cs="宋体"/>
          <w:bCs/>
          <w:sz w:val="24"/>
        </w:rPr>
        <w:t>，</w:t>
      </w:r>
    </w:p>
    <w:p>
      <w:pPr>
        <w:spacing w:line="360" w:lineRule="auto"/>
        <w:rPr>
          <w:rFonts w:hint="eastAsia" w:ascii="宋体" w:hAnsi="宋体" w:eastAsia="宋体" w:cs="宋体"/>
          <w:bCs/>
          <w:sz w:val="24"/>
          <w:u w:val="single"/>
        </w:rPr>
      </w:pPr>
      <w:r>
        <w:rPr>
          <w:rFonts w:hint="eastAsia" w:ascii="宋体" w:hAnsi="宋体" w:eastAsia="宋体" w:cs="宋体"/>
          <w:sz w:val="24"/>
        </w:rPr>
        <w:t>类似项目的定义为：</w:t>
      </w: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spacing w:line="360" w:lineRule="auto"/>
        <w:ind w:firstLine="480"/>
        <w:rPr>
          <w:rFonts w:hint="eastAsia" w:ascii="宋体" w:hAnsi="宋体" w:eastAsia="宋体" w:cs="宋体"/>
          <w:sz w:val="24"/>
          <w:u w:val="single"/>
        </w:rPr>
      </w:pPr>
      <w:r>
        <w:rPr>
          <w:rFonts w:hint="eastAsia" w:ascii="宋体" w:hAnsi="宋体" w:eastAsia="宋体" w:cs="宋体"/>
          <w:sz w:val="24"/>
        </w:rPr>
        <w:t>(3)合同价格构成中的工程量清单项目单价中没有适用或类似于变更工程的工程量清单项目单价时变更价款的确定方法：</w:t>
      </w:r>
      <w:r>
        <w:rPr>
          <w:rFonts w:hint="eastAsia" w:ascii="宋体" w:hAnsi="宋体" w:eastAsia="宋体" w:cs="宋体"/>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ind w:firstLine="480"/>
        <w:rPr>
          <w:rFonts w:hint="eastAsia" w:ascii="宋体" w:hAnsi="宋体" w:eastAsia="宋体" w:cs="宋体"/>
          <w:sz w:val="24"/>
        </w:rPr>
      </w:pPr>
      <w:r>
        <w:rPr>
          <w:rFonts w:hint="eastAsia" w:ascii="宋体" w:hAnsi="宋体" w:eastAsia="宋体" w:cs="宋体"/>
          <w:sz w:val="24"/>
        </w:rPr>
        <w:t>(4)工程量清单中项目工程量增减幅度：</w:t>
      </w:r>
      <w:r>
        <w:rPr>
          <w:rFonts w:hint="eastAsia" w:ascii="宋体" w:hAnsi="宋体" w:eastAsia="宋体" w:cs="宋体"/>
          <w:sz w:val="24"/>
          <w:u w:val="single"/>
        </w:rPr>
        <w:t xml:space="preserve">             </w:t>
      </w:r>
      <w:r>
        <w:rPr>
          <w:rFonts w:hint="eastAsia" w:ascii="宋体" w:hAnsi="宋体" w:eastAsia="宋体" w:cs="宋体"/>
          <w:sz w:val="24"/>
        </w:rPr>
        <w:t xml:space="preserve"> </w:t>
      </w:r>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644" w:name="_Toc23524"/>
      <w:bookmarkStart w:id="1645" w:name="_Toc305331507"/>
      <w:bookmarkStart w:id="1646" w:name="_Toc67418814"/>
      <w:bookmarkStart w:id="1647" w:name="_Toc302636028"/>
      <w:r>
        <w:rPr>
          <w:rFonts w:hint="eastAsia" w:ascii="宋体" w:hAnsi="宋体" w:eastAsia="宋体" w:cs="宋体"/>
          <w:sz w:val="24"/>
        </w:rPr>
        <w:t>25.2 工程变更引起措施项目的调整</w:t>
      </w:r>
      <w:bookmarkEnd w:id="1644"/>
      <w:bookmarkEnd w:id="1645"/>
      <w:bookmarkEnd w:id="1646"/>
      <w:bookmarkEnd w:id="1647"/>
    </w:p>
    <w:p>
      <w:pPr>
        <w:spacing w:line="360" w:lineRule="auto"/>
        <w:ind w:firstLine="480"/>
        <w:rPr>
          <w:rFonts w:hint="eastAsia" w:ascii="宋体" w:hAnsi="宋体" w:eastAsia="宋体" w:cs="宋体"/>
          <w:sz w:val="24"/>
          <w:u w:val="single"/>
        </w:rPr>
      </w:pPr>
      <w:r>
        <w:rPr>
          <w:rFonts w:hint="eastAsia" w:ascii="宋体" w:hAnsi="宋体" w:eastAsia="宋体" w:cs="宋体"/>
          <w:sz w:val="24"/>
        </w:rPr>
        <w:t>(3)工程变更引起措施项目费调整的，其调整方法为：</w:t>
      </w:r>
      <w:r>
        <w:rPr>
          <w:rFonts w:hint="eastAsia" w:ascii="宋体" w:hAnsi="宋体" w:eastAsia="宋体" w:cs="宋体"/>
          <w:sz w:val="24"/>
          <w:u w:val="single"/>
        </w:rPr>
        <w:t xml:space="preserve">                                       </w:t>
      </w:r>
    </w:p>
    <w:p>
      <w:pPr>
        <w:spacing w:line="360" w:lineRule="auto"/>
        <w:rPr>
          <w:rFonts w:hint="eastAsia" w:ascii="宋体" w:hAnsi="宋体" w:eastAsia="宋体" w:cs="宋体"/>
          <w:sz w:val="24"/>
          <w:u w:val="single"/>
        </w:rPr>
      </w:pPr>
      <w:r>
        <w:rPr>
          <w:rFonts w:hint="eastAsia" w:ascii="宋体" w:hAnsi="宋体" w:eastAsia="宋体" w:cs="宋体"/>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spacing w:line="360" w:lineRule="auto"/>
        <w:ind w:firstLine="480"/>
        <w:rPr>
          <w:rFonts w:hint="eastAsia" w:ascii="宋体" w:hAnsi="宋体" w:eastAsia="宋体" w:cs="宋体"/>
          <w:sz w:val="24"/>
          <w:u w:val="single"/>
        </w:rPr>
      </w:pPr>
      <w:r>
        <w:rPr>
          <w:rFonts w:hint="eastAsia" w:ascii="宋体" w:hAnsi="宋体" w:eastAsia="宋体" w:cs="宋体"/>
          <w:bCs/>
          <w:sz w:val="24"/>
        </w:rPr>
        <w:t>③安全文明施工措施费计算基数变化幅度及</w:t>
      </w:r>
      <w:r>
        <w:rPr>
          <w:rFonts w:hint="eastAsia" w:ascii="宋体" w:hAnsi="宋体" w:eastAsia="宋体" w:cs="宋体"/>
          <w:sz w:val="24"/>
        </w:rPr>
        <w:t>其调整方法的约定为：</w:t>
      </w:r>
      <w:r>
        <w:rPr>
          <w:rFonts w:hint="eastAsia" w:ascii="宋体" w:hAnsi="宋体" w:eastAsia="宋体" w:cs="宋体"/>
          <w:sz w:val="24"/>
          <w:u w:val="single"/>
        </w:rPr>
        <w:t xml:space="preserve">                           </w:t>
      </w:r>
    </w:p>
    <w:p>
      <w:pPr>
        <w:spacing w:line="360" w:lineRule="auto"/>
        <w:rPr>
          <w:rFonts w:hint="eastAsia" w:ascii="宋体" w:hAnsi="宋体" w:eastAsia="宋体" w:cs="宋体"/>
          <w:sz w:val="24"/>
          <w:u w:val="single"/>
        </w:rPr>
      </w:pPr>
      <w:r>
        <w:rPr>
          <w:rFonts w:hint="eastAsia" w:ascii="宋体" w:hAnsi="宋体" w:eastAsia="宋体" w:cs="宋体"/>
          <w:sz w:val="24"/>
          <w:u w:val="single"/>
        </w:rPr>
        <w:t xml:space="preserve">                                                                            </w:t>
      </w:r>
    </w:p>
    <w:p>
      <w:pPr>
        <w:spacing w:line="360" w:lineRule="auto"/>
        <w:rPr>
          <w:rFonts w:hint="eastAsia" w:ascii="宋体" w:hAnsi="宋体" w:eastAsia="宋体" w:cs="宋体"/>
          <w:bCs/>
          <w:sz w:val="24"/>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bCs/>
          <w:sz w:val="24"/>
        </w:rPr>
        <w:t>。</w:t>
      </w:r>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648" w:name="_Toc6747"/>
      <w:bookmarkStart w:id="1649" w:name="_Toc302636029"/>
      <w:bookmarkStart w:id="1650" w:name="_Toc67418815"/>
      <w:bookmarkStart w:id="1651" w:name="_Toc305331506"/>
      <w:r>
        <w:rPr>
          <w:rFonts w:hint="eastAsia" w:ascii="宋体" w:hAnsi="宋体" w:eastAsia="宋体" w:cs="宋体"/>
          <w:sz w:val="24"/>
        </w:rPr>
        <w:t>25.3 工程变更价款的确定程序</w:t>
      </w:r>
      <w:bookmarkEnd w:id="1648"/>
      <w:bookmarkEnd w:id="1649"/>
      <w:bookmarkEnd w:id="1650"/>
      <w:bookmarkEnd w:id="1651"/>
    </w:p>
    <w:p>
      <w:pPr>
        <w:spacing w:line="360" w:lineRule="auto"/>
        <w:ind w:firstLine="480"/>
        <w:rPr>
          <w:rFonts w:hint="eastAsia" w:ascii="宋体" w:hAnsi="宋体" w:eastAsia="宋体" w:cs="宋体"/>
          <w:sz w:val="24"/>
          <w:u w:val="single"/>
        </w:rPr>
      </w:pPr>
      <w:r>
        <w:rPr>
          <w:rFonts w:hint="eastAsia" w:ascii="宋体" w:hAnsi="宋体" w:eastAsia="宋体" w:cs="宋体"/>
          <w:sz w:val="24"/>
        </w:rPr>
        <w:t>本工程的工程变更价款按以下程序进行确定：</w:t>
      </w:r>
      <w:r>
        <w:rPr>
          <w:rFonts w:hint="eastAsia" w:ascii="宋体" w:hAnsi="宋体" w:eastAsia="宋体" w:cs="宋体"/>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652" w:name="_Toc11264"/>
      <w:bookmarkStart w:id="1653" w:name="_Toc67418816"/>
      <w:bookmarkStart w:id="1654" w:name="_Toc302636030"/>
      <w:r>
        <w:rPr>
          <w:rFonts w:hint="eastAsia" w:ascii="宋体" w:hAnsi="宋体" w:eastAsia="宋体" w:cs="宋体"/>
          <w:sz w:val="24"/>
        </w:rPr>
        <w:t>25.4 工程量变化调整项目单价</w:t>
      </w:r>
      <w:bookmarkEnd w:id="1652"/>
      <w:bookmarkEnd w:id="1653"/>
      <w:bookmarkEnd w:id="1654"/>
    </w:p>
    <w:p>
      <w:pPr>
        <w:spacing w:line="360" w:lineRule="auto"/>
        <w:ind w:firstLine="480"/>
        <w:rPr>
          <w:rFonts w:hint="eastAsia" w:ascii="宋体" w:hAnsi="宋体" w:eastAsia="宋体" w:cs="宋体"/>
          <w:sz w:val="24"/>
        </w:rPr>
      </w:pPr>
      <w:r>
        <w:rPr>
          <w:rFonts w:hint="eastAsia" w:ascii="宋体" w:hAnsi="宋体" w:eastAsia="宋体" w:cs="宋体"/>
          <w:sz w:val="24"/>
        </w:rPr>
        <w:t>工程量清单中项目工程量增减幅度：</w:t>
      </w:r>
      <w:r>
        <w:rPr>
          <w:rFonts w:hint="eastAsia" w:ascii="宋体" w:hAnsi="宋体" w:eastAsia="宋体" w:cs="宋体"/>
          <w:sz w:val="24"/>
          <w:u w:val="single"/>
        </w:rPr>
        <w:t xml:space="preserve">             </w:t>
      </w:r>
      <w:r>
        <w:rPr>
          <w:rFonts w:hint="eastAsia" w:ascii="宋体" w:hAnsi="宋体" w:eastAsia="宋体" w:cs="宋体"/>
          <w:sz w:val="24"/>
        </w:rPr>
        <w:t xml:space="preserve"> </w:t>
      </w:r>
    </w:p>
    <w:p>
      <w:pPr>
        <w:spacing w:line="360" w:lineRule="auto"/>
        <w:ind w:firstLine="480"/>
        <w:rPr>
          <w:rFonts w:hint="eastAsia" w:ascii="宋体" w:hAnsi="宋体" w:eastAsia="宋体" w:cs="宋体"/>
          <w:sz w:val="24"/>
          <w:u w:val="single"/>
        </w:rPr>
      </w:pPr>
      <w:r>
        <w:rPr>
          <w:rFonts w:hint="eastAsia" w:ascii="宋体" w:hAnsi="宋体" w:eastAsia="宋体" w:cs="宋体"/>
          <w:sz w:val="24"/>
        </w:rPr>
        <w:t>清单项目增加部分工程量或减少后剩余部分工程量的项目单价确定方法</w:t>
      </w:r>
      <w:r>
        <w:rPr>
          <w:rFonts w:hint="eastAsia" w:ascii="宋体" w:hAnsi="宋体" w:eastAsia="宋体" w:cs="宋体"/>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u w:val="single"/>
        </w:rPr>
      </w:pPr>
      <w:r>
        <w:rPr>
          <w:rFonts w:hint="eastAsia" w:ascii="宋体" w:hAnsi="宋体" w:eastAsia="宋体" w:cs="宋体"/>
          <w:bCs/>
          <w:sz w:val="24"/>
          <w:u w:val="single"/>
        </w:rPr>
        <w:t xml:space="preserve">                                                                            </w:t>
      </w:r>
    </w:p>
    <w:p>
      <w:pPr>
        <w:spacing w:line="360" w:lineRule="auto"/>
        <w:rPr>
          <w:rFonts w:hint="eastAsia" w:ascii="宋体" w:hAnsi="宋体" w:eastAsia="宋体" w:cs="宋体"/>
          <w:bCs/>
          <w:sz w:val="24"/>
        </w:rPr>
      </w:pPr>
      <w:r>
        <w:rPr>
          <w:rFonts w:hint="eastAsia" w:ascii="宋体" w:hAnsi="宋体" w:eastAsia="宋体" w:cs="宋体"/>
          <w:bCs/>
          <w:sz w:val="24"/>
          <w:u w:val="single"/>
        </w:rPr>
        <w:t xml:space="preserve">                                                                            </w:t>
      </w:r>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655" w:name="_Toc24998"/>
      <w:bookmarkStart w:id="1656" w:name="_Toc67418817"/>
      <w:bookmarkStart w:id="1657" w:name="_Toc305331508"/>
      <w:bookmarkStart w:id="1658" w:name="_Toc302636031"/>
      <w:r>
        <w:rPr>
          <w:rFonts w:hint="eastAsia" w:ascii="宋体" w:hAnsi="宋体" w:eastAsia="宋体" w:cs="宋体"/>
          <w:sz w:val="24"/>
        </w:rPr>
        <w:t>25.5 工程变更价款支付</w:t>
      </w:r>
      <w:bookmarkEnd w:id="1655"/>
      <w:bookmarkEnd w:id="1656"/>
    </w:p>
    <w:p>
      <w:pPr>
        <w:spacing w:line="360" w:lineRule="auto"/>
        <w:ind w:firstLine="480"/>
        <w:rPr>
          <w:rFonts w:hint="eastAsia" w:ascii="宋体" w:hAnsi="宋体" w:eastAsia="宋体" w:cs="宋体"/>
          <w:sz w:val="24"/>
        </w:rPr>
      </w:pPr>
      <w:r>
        <w:rPr>
          <w:rFonts w:hint="eastAsia" w:ascii="宋体" w:hAnsi="宋体" w:eastAsia="宋体" w:cs="宋体"/>
          <w:sz w:val="24"/>
        </w:rPr>
        <w:t>(1)追加(减)合同价款支付比例达到</w:t>
      </w:r>
      <w:r>
        <w:rPr>
          <w:rFonts w:hint="eastAsia" w:ascii="宋体" w:hAnsi="宋体" w:eastAsia="宋体" w:cs="宋体"/>
          <w:sz w:val="24"/>
          <w:u w:val="single"/>
        </w:rPr>
        <w:t xml:space="preserve">    </w:t>
      </w:r>
      <w:r>
        <w:rPr>
          <w:rFonts w:hint="eastAsia" w:ascii="宋体" w:hAnsi="宋体" w:eastAsia="宋体" w:cs="宋体"/>
          <w:sz w:val="24"/>
        </w:rPr>
        <w:t>％时暂停支付。</w:t>
      </w:r>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659" w:name="_Toc67418818"/>
      <w:bookmarkStart w:id="1660" w:name="_Toc19426"/>
      <w:r>
        <w:rPr>
          <w:rFonts w:hint="eastAsia" w:ascii="宋体" w:hAnsi="宋体" w:eastAsia="宋体" w:cs="宋体"/>
          <w:sz w:val="24"/>
        </w:rPr>
        <w:t>25.6 删减工作或工程的补偿</w:t>
      </w:r>
      <w:bookmarkEnd w:id="1657"/>
      <w:bookmarkEnd w:id="1658"/>
      <w:bookmarkEnd w:id="1659"/>
      <w:bookmarkEnd w:id="1660"/>
    </w:p>
    <w:p>
      <w:pPr>
        <w:spacing w:line="360" w:lineRule="auto"/>
        <w:ind w:firstLine="480"/>
        <w:rPr>
          <w:rFonts w:hint="eastAsia" w:ascii="宋体" w:hAnsi="宋体" w:eastAsia="宋体" w:cs="宋体"/>
          <w:sz w:val="24"/>
          <w:u w:val="single"/>
        </w:rPr>
      </w:pPr>
      <w:r>
        <w:rPr>
          <w:rFonts w:hint="eastAsia" w:ascii="宋体" w:hAnsi="宋体" w:eastAsia="宋体" w:cs="宋体"/>
          <w:sz w:val="24"/>
        </w:rPr>
        <w:t>由于非承包人原因删减了本合同中的某项原定工作或工程，致使承包人发生的费用或(和)预期收益不能被包括在其他已支付或应支付的项目中，也未包含在任何替代的工作或工程中，发包人应按以下约定方式给予承包人补偿：</w:t>
      </w:r>
      <w:r>
        <w:rPr>
          <w:rFonts w:hint="eastAsia" w:ascii="宋体" w:hAnsi="宋体" w:eastAsia="宋体" w:cs="宋体"/>
          <w:sz w:val="24"/>
          <w:u w:val="single"/>
        </w:rPr>
        <w:t xml:space="preserve">                         </w:t>
      </w:r>
    </w:p>
    <w:p>
      <w:pPr>
        <w:spacing w:line="360" w:lineRule="auto"/>
        <w:rPr>
          <w:rFonts w:hint="eastAsia" w:ascii="宋体" w:hAnsi="宋体" w:eastAsia="宋体" w:cs="宋体"/>
          <w:sz w:val="24"/>
          <w:u w:val="single"/>
        </w:rPr>
      </w:pPr>
      <w:r>
        <w:rPr>
          <w:rFonts w:hint="eastAsia" w:ascii="宋体" w:hAnsi="宋体" w:eastAsia="宋体" w:cs="宋体"/>
          <w:sz w:val="24"/>
          <w:u w:val="single"/>
        </w:rPr>
        <w:t xml:space="preserve">                                                                            </w:t>
      </w:r>
    </w:p>
    <w:p>
      <w:pPr>
        <w:spacing w:line="360" w:lineRule="auto"/>
        <w:rPr>
          <w:rFonts w:hint="eastAsia" w:ascii="宋体" w:hAnsi="宋体" w:eastAsia="宋体" w:cs="宋体"/>
          <w:sz w:val="24"/>
          <w:u w:val="single"/>
        </w:rPr>
      </w:pPr>
      <w:r>
        <w:rPr>
          <w:rFonts w:hint="eastAsia" w:ascii="宋体" w:hAnsi="宋体" w:eastAsia="宋体" w:cs="宋体"/>
          <w:sz w:val="24"/>
          <w:u w:val="single"/>
        </w:rPr>
        <w:t xml:space="preserve">                                                                            </w:t>
      </w:r>
    </w:p>
    <w:p>
      <w:pPr>
        <w:pStyle w:val="2"/>
        <w:keepNext w:val="0"/>
        <w:keepLines w:val="0"/>
        <w:numPr>
          <w:ilvl w:val="0"/>
          <w:numId w:val="0"/>
        </w:numPr>
        <w:tabs>
          <w:tab w:val="left" w:pos="540"/>
          <w:tab w:val="left" w:pos="720"/>
          <w:tab w:val="left" w:pos="1620"/>
          <w:tab w:val="left" w:pos="2340"/>
        </w:tabs>
        <w:spacing w:before="120" w:after="120"/>
        <w:ind w:left="178"/>
        <w:rPr>
          <w:rFonts w:hint="eastAsia" w:ascii="宋体" w:hAnsi="宋体" w:eastAsia="宋体" w:cs="宋体"/>
        </w:rPr>
      </w:pPr>
      <w:bookmarkStart w:id="1661" w:name="_Toc67418819"/>
      <w:bookmarkStart w:id="1662" w:name="_Toc19156"/>
      <w:bookmarkStart w:id="1663" w:name="_Toc302636032"/>
      <w:bookmarkStart w:id="1664" w:name="_Toc305331509"/>
      <w:r>
        <w:rPr>
          <w:rFonts w:hint="eastAsia" w:ascii="宋体" w:hAnsi="宋体" w:eastAsia="宋体" w:cs="宋体"/>
        </w:rPr>
        <w:t>26 竣工验收</w:t>
      </w:r>
      <w:bookmarkEnd w:id="1661"/>
      <w:bookmarkEnd w:id="1662"/>
      <w:bookmarkEnd w:id="1663"/>
      <w:bookmarkEnd w:id="1664"/>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665" w:name="_Toc14205"/>
      <w:bookmarkStart w:id="1666" w:name="_Toc305331510"/>
      <w:bookmarkStart w:id="1667" w:name="_Toc67418820"/>
      <w:bookmarkStart w:id="1668" w:name="_Toc302636033"/>
      <w:r>
        <w:rPr>
          <w:rFonts w:hint="eastAsia" w:ascii="宋体" w:hAnsi="宋体" w:eastAsia="宋体" w:cs="宋体"/>
          <w:sz w:val="24"/>
        </w:rPr>
        <w:t>26.1 竣工验收</w:t>
      </w:r>
      <w:bookmarkEnd w:id="1665"/>
      <w:bookmarkEnd w:id="1666"/>
      <w:bookmarkEnd w:id="1667"/>
      <w:bookmarkEnd w:id="1668"/>
    </w:p>
    <w:p>
      <w:pPr>
        <w:spacing w:line="360" w:lineRule="auto"/>
        <w:ind w:firstLine="480"/>
        <w:rPr>
          <w:rFonts w:hint="eastAsia" w:ascii="宋体" w:hAnsi="宋体" w:eastAsia="宋体" w:cs="宋体"/>
          <w:sz w:val="24"/>
        </w:rPr>
      </w:pPr>
      <w:r>
        <w:rPr>
          <w:rFonts w:hint="eastAsia" w:ascii="宋体" w:hAnsi="宋体" w:eastAsia="宋体" w:cs="宋体"/>
          <w:sz w:val="24"/>
        </w:rPr>
        <w:t>(2)承包人提供竣工资料的约定：</w:t>
      </w:r>
      <w:r>
        <w:rPr>
          <w:rFonts w:hint="eastAsia" w:ascii="宋体" w:hAnsi="宋体" w:eastAsia="宋体" w:cs="宋体"/>
          <w:bCs/>
          <w:sz w:val="24"/>
          <w:u w:val="single"/>
        </w:rPr>
        <w:t xml:space="preserve">                                           </w:t>
      </w:r>
    </w:p>
    <w:p>
      <w:pPr>
        <w:spacing w:line="360" w:lineRule="auto"/>
        <w:rPr>
          <w:rFonts w:hint="eastAsia" w:ascii="宋体" w:hAnsi="宋体" w:eastAsia="宋体" w:cs="宋体"/>
          <w:sz w:val="24"/>
          <w:u w:val="single"/>
        </w:rPr>
      </w:pPr>
      <w:r>
        <w:rPr>
          <w:rFonts w:hint="eastAsia" w:ascii="宋体" w:hAnsi="宋体" w:eastAsia="宋体" w:cs="宋体"/>
          <w:sz w:val="24"/>
          <w:u w:val="single"/>
        </w:rPr>
        <w:t xml:space="preserve">                                                                            </w:t>
      </w:r>
    </w:p>
    <w:p>
      <w:pPr>
        <w:spacing w:line="360" w:lineRule="auto"/>
        <w:rPr>
          <w:rFonts w:hint="eastAsia" w:ascii="宋体" w:hAnsi="宋体" w:eastAsia="宋体" w:cs="宋体"/>
          <w:sz w:val="24"/>
          <w:u w:val="single"/>
        </w:rPr>
      </w:pPr>
      <w:r>
        <w:rPr>
          <w:rFonts w:hint="eastAsia" w:ascii="宋体" w:hAnsi="宋体" w:eastAsia="宋体" w:cs="宋体"/>
          <w:sz w:val="24"/>
          <w:u w:val="single"/>
        </w:rPr>
        <w:t xml:space="preserve">                                                                            </w:t>
      </w:r>
    </w:p>
    <w:p>
      <w:pPr>
        <w:spacing w:line="360" w:lineRule="auto"/>
        <w:rPr>
          <w:rFonts w:hint="eastAsia" w:ascii="宋体" w:hAnsi="宋体" w:eastAsia="宋体" w:cs="宋体"/>
          <w:sz w:val="24"/>
          <w:u w:val="single"/>
        </w:rPr>
      </w:pPr>
      <w:r>
        <w:rPr>
          <w:rFonts w:hint="eastAsia" w:ascii="宋体" w:hAnsi="宋体" w:eastAsia="宋体" w:cs="宋体"/>
          <w:sz w:val="24"/>
          <w:u w:val="single"/>
        </w:rPr>
        <w:t xml:space="preserve">                                                                            </w:t>
      </w:r>
    </w:p>
    <w:p>
      <w:pPr>
        <w:spacing w:line="360" w:lineRule="auto"/>
        <w:rPr>
          <w:rFonts w:hint="eastAsia" w:ascii="宋体" w:hAnsi="宋体" w:eastAsia="宋体" w:cs="宋体"/>
          <w:sz w:val="24"/>
          <w:u w:val="single"/>
        </w:rPr>
      </w:pPr>
      <w:r>
        <w:rPr>
          <w:rFonts w:hint="eastAsia" w:ascii="宋体" w:hAnsi="宋体" w:eastAsia="宋体" w:cs="宋体"/>
          <w:sz w:val="24"/>
          <w:u w:val="single"/>
        </w:rPr>
        <w:t xml:space="preserve">                                                                            </w:t>
      </w:r>
    </w:p>
    <w:p>
      <w:pPr>
        <w:spacing w:line="360" w:lineRule="auto"/>
        <w:ind w:firstLine="480"/>
        <w:rPr>
          <w:rFonts w:hint="eastAsia" w:ascii="宋体" w:hAnsi="宋体" w:eastAsia="宋体" w:cs="宋体"/>
          <w:sz w:val="24"/>
          <w:u w:val="single"/>
        </w:rPr>
      </w:pPr>
      <w:r>
        <w:rPr>
          <w:rFonts w:hint="eastAsia" w:ascii="宋体" w:hAnsi="宋体" w:eastAsia="宋体" w:cs="宋体"/>
          <w:sz w:val="24"/>
        </w:rPr>
        <w:t>(7) 本工程中须单独进行竣工验收的单项工程为：</w:t>
      </w:r>
      <w:r>
        <w:rPr>
          <w:rFonts w:hint="eastAsia" w:ascii="宋体" w:hAnsi="宋体" w:eastAsia="宋体" w:cs="宋体"/>
          <w:sz w:val="24"/>
          <w:u w:val="single"/>
        </w:rPr>
        <w:t xml:space="preserve">                            </w:t>
      </w:r>
    </w:p>
    <w:p>
      <w:pPr>
        <w:spacing w:line="360" w:lineRule="auto"/>
        <w:rPr>
          <w:rFonts w:hint="eastAsia" w:ascii="宋体" w:hAnsi="宋体" w:eastAsia="宋体" w:cs="宋体"/>
          <w:sz w:val="24"/>
          <w:u w:val="single"/>
        </w:rPr>
      </w:pPr>
      <w:r>
        <w:rPr>
          <w:rFonts w:hint="eastAsia" w:ascii="宋体" w:hAnsi="宋体" w:eastAsia="宋体" w:cs="宋体"/>
          <w:sz w:val="24"/>
          <w:u w:val="single"/>
        </w:rPr>
        <w:t xml:space="preserve">                                                                             </w:t>
      </w:r>
    </w:p>
    <w:p>
      <w:pPr>
        <w:spacing w:line="360" w:lineRule="auto"/>
        <w:rPr>
          <w:rFonts w:hint="eastAsia" w:ascii="宋体" w:hAnsi="宋体" w:eastAsia="宋体" w:cs="宋体"/>
          <w:sz w:val="24"/>
          <w:u w:val="single"/>
        </w:rPr>
      </w:pPr>
      <w:r>
        <w:rPr>
          <w:rFonts w:hint="eastAsia" w:ascii="宋体" w:hAnsi="宋体" w:eastAsia="宋体" w:cs="宋体"/>
          <w:sz w:val="24"/>
          <w:u w:val="single"/>
        </w:rPr>
        <w:t xml:space="preserve">                                                                            </w:t>
      </w:r>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669" w:name="_Toc67418821"/>
      <w:bookmarkStart w:id="1670" w:name="_Toc3509"/>
      <w:bookmarkStart w:id="1671" w:name="_Toc302636034"/>
      <w:bookmarkStart w:id="1672" w:name="_Toc305331511"/>
      <w:r>
        <w:rPr>
          <w:rFonts w:hint="eastAsia" w:ascii="宋体" w:hAnsi="宋体" w:eastAsia="宋体" w:cs="宋体"/>
          <w:sz w:val="24"/>
        </w:rPr>
        <w:t>26.2 竣工验收合格后的移交和清理</w:t>
      </w:r>
      <w:bookmarkEnd w:id="1669"/>
      <w:bookmarkEnd w:id="1670"/>
      <w:bookmarkEnd w:id="1671"/>
      <w:bookmarkEnd w:id="1672"/>
    </w:p>
    <w:p>
      <w:pPr>
        <w:spacing w:line="360" w:lineRule="auto"/>
        <w:ind w:firstLine="480"/>
        <w:rPr>
          <w:rFonts w:hint="eastAsia" w:ascii="宋体" w:hAnsi="宋体" w:eastAsia="宋体" w:cs="宋体"/>
          <w:sz w:val="24"/>
        </w:rPr>
      </w:pPr>
      <w:r>
        <w:rPr>
          <w:rFonts w:hint="eastAsia" w:ascii="宋体" w:hAnsi="宋体" w:eastAsia="宋体" w:cs="宋体"/>
          <w:sz w:val="24"/>
        </w:rPr>
        <w:t>(1)承包人不按时向发包人移交本工程的，每延迟一天，承包人向发包人支付违约金</w:t>
      </w:r>
      <w:r>
        <w:rPr>
          <w:rFonts w:hint="eastAsia" w:ascii="宋体" w:hAnsi="宋体" w:eastAsia="宋体" w:cs="宋体"/>
          <w:sz w:val="24"/>
          <w:u w:val="single"/>
        </w:rPr>
        <w:t xml:space="preserve">                </w:t>
      </w:r>
      <w:r>
        <w:rPr>
          <w:rFonts w:hint="eastAsia" w:ascii="宋体" w:hAnsi="宋体" w:eastAsia="宋体" w:cs="宋体"/>
          <w:sz w:val="24"/>
        </w:rPr>
        <w:t>。</w:t>
      </w:r>
    </w:p>
    <w:p>
      <w:pPr>
        <w:spacing w:line="360" w:lineRule="auto"/>
        <w:ind w:firstLine="480"/>
        <w:rPr>
          <w:rFonts w:hint="eastAsia" w:ascii="宋体" w:hAnsi="宋体" w:eastAsia="宋体" w:cs="宋体"/>
          <w:sz w:val="24"/>
          <w:u w:val="single"/>
        </w:rPr>
      </w:pPr>
      <w:r>
        <w:rPr>
          <w:rFonts w:hint="eastAsia" w:ascii="宋体" w:hAnsi="宋体" w:eastAsia="宋体" w:cs="宋体"/>
          <w:sz w:val="24"/>
        </w:rPr>
        <w:t>(3)发包人无正当理由不接收工程的，发包人应承担以下违约责任：</w:t>
      </w:r>
      <w:r>
        <w:rPr>
          <w:rFonts w:hint="eastAsia" w:ascii="宋体" w:hAnsi="宋体" w:eastAsia="宋体" w:cs="宋体"/>
          <w:sz w:val="24"/>
          <w:u w:val="single"/>
        </w:rPr>
        <w:t xml:space="preserve">             </w:t>
      </w:r>
    </w:p>
    <w:p>
      <w:pPr>
        <w:spacing w:line="360" w:lineRule="auto"/>
        <w:rPr>
          <w:rFonts w:hint="eastAsia" w:ascii="宋体" w:hAnsi="宋体" w:eastAsia="宋体" w:cs="宋体"/>
          <w:sz w:val="24"/>
          <w:u w:val="single"/>
        </w:rPr>
      </w:pPr>
      <w:r>
        <w:rPr>
          <w:rFonts w:hint="eastAsia" w:ascii="宋体" w:hAnsi="宋体" w:eastAsia="宋体" w:cs="宋体"/>
          <w:sz w:val="24"/>
          <w:u w:val="single"/>
        </w:rPr>
        <w:t xml:space="preserve">                                                                            </w:t>
      </w:r>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673" w:name="_Toc67418822"/>
      <w:bookmarkStart w:id="1674" w:name="_Toc302636035"/>
      <w:bookmarkStart w:id="1675" w:name="_Toc27744"/>
      <w:bookmarkStart w:id="1676" w:name="_Toc305331512"/>
      <w:r>
        <w:rPr>
          <w:rFonts w:hint="eastAsia" w:ascii="宋体" w:hAnsi="宋体" w:eastAsia="宋体" w:cs="宋体"/>
          <w:sz w:val="24"/>
        </w:rPr>
        <w:t>26.3 竣工验收质量不合格和重新验收</w:t>
      </w:r>
      <w:bookmarkEnd w:id="1673"/>
      <w:bookmarkEnd w:id="1674"/>
      <w:bookmarkEnd w:id="1675"/>
      <w:bookmarkEnd w:id="1676"/>
    </w:p>
    <w:p>
      <w:pPr>
        <w:spacing w:line="360" w:lineRule="auto"/>
        <w:ind w:firstLine="480"/>
        <w:rPr>
          <w:rFonts w:hint="eastAsia" w:ascii="宋体" w:hAnsi="宋体" w:eastAsia="宋体" w:cs="宋体"/>
          <w:sz w:val="24"/>
          <w:u w:val="single"/>
        </w:rPr>
      </w:pPr>
      <w:r>
        <w:rPr>
          <w:rFonts w:hint="eastAsia" w:ascii="宋体" w:hAnsi="宋体" w:eastAsia="宋体" w:cs="宋体"/>
          <w:sz w:val="24"/>
        </w:rPr>
        <w:t>(1)如本工程竣工验收质量未达到本合同约定的标准，承包人应承担以下违约责任：</w:t>
      </w:r>
      <w:r>
        <w:rPr>
          <w:rFonts w:hint="eastAsia" w:ascii="宋体" w:hAnsi="宋体" w:eastAsia="宋体" w:cs="宋体"/>
          <w:sz w:val="24"/>
          <w:u w:val="single"/>
        </w:rPr>
        <w:t xml:space="preserve">                                                                 </w:t>
      </w:r>
    </w:p>
    <w:p>
      <w:pPr>
        <w:spacing w:line="360" w:lineRule="auto"/>
        <w:rPr>
          <w:rFonts w:hint="eastAsia" w:ascii="宋体" w:hAnsi="宋体" w:eastAsia="宋体" w:cs="宋体"/>
          <w:sz w:val="24"/>
          <w:u w:val="single"/>
        </w:rPr>
      </w:pPr>
      <w:r>
        <w:rPr>
          <w:rFonts w:hint="eastAsia" w:ascii="宋体" w:hAnsi="宋体" w:eastAsia="宋体" w:cs="宋体"/>
          <w:sz w:val="24"/>
          <w:u w:val="single"/>
        </w:rPr>
        <w:t xml:space="preserve">                                                                            </w:t>
      </w:r>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677" w:name="_Toc19098"/>
      <w:bookmarkStart w:id="1678" w:name="_Toc67418823"/>
      <w:bookmarkStart w:id="1679" w:name="_Toc302636037"/>
      <w:bookmarkStart w:id="1680" w:name="_Toc305331515"/>
      <w:bookmarkStart w:id="1681" w:name="_Toc305331514"/>
      <w:r>
        <w:rPr>
          <w:rFonts w:hint="eastAsia" w:ascii="宋体" w:hAnsi="宋体" w:eastAsia="宋体" w:cs="宋体"/>
          <w:sz w:val="24"/>
        </w:rPr>
        <w:t>26.6 竣工验收工程质量争议处理</w:t>
      </w:r>
      <w:bookmarkEnd w:id="1677"/>
      <w:bookmarkEnd w:id="1678"/>
      <w:bookmarkEnd w:id="1679"/>
      <w:bookmarkEnd w:id="1680"/>
    </w:p>
    <w:p>
      <w:pPr>
        <w:spacing w:line="360" w:lineRule="auto"/>
        <w:ind w:firstLine="480"/>
        <w:rPr>
          <w:rFonts w:hint="eastAsia" w:ascii="宋体" w:hAnsi="宋体" w:eastAsia="宋体" w:cs="宋体"/>
          <w:sz w:val="24"/>
          <w:u w:val="single"/>
        </w:rPr>
      </w:pPr>
      <w:r>
        <w:rPr>
          <w:rFonts w:hint="eastAsia" w:ascii="宋体" w:hAnsi="宋体" w:eastAsia="宋体" w:cs="宋体"/>
          <w:sz w:val="24"/>
        </w:rPr>
        <w:t>发包人与承包人对竣工验收工程质量有争议时共同委托的质量检测鉴定机构为：</w:t>
      </w:r>
      <w:r>
        <w:rPr>
          <w:rFonts w:hint="eastAsia" w:ascii="宋体" w:hAnsi="宋体" w:eastAsia="宋体" w:cs="宋体"/>
          <w:sz w:val="24"/>
          <w:u w:val="single"/>
        </w:rPr>
        <w:t xml:space="preserve">  </w:t>
      </w:r>
    </w:p>
    <w:p>
      <w:pPr>
        <w:spacing w:line="360" w:lineRule="auto"/>
        <w:rPr>
          <w:rFonts w:hint="eastAsia" w:ascii="宋体" w:hAnsi="宋体" w:eastAsia="宋体" w:cs="宋体"/>
          <w:sz w:val="24"/>
        </w:rPr>
      </w:pPr>
      <w:r>
        <w:rPr>
          <w:rFonts w:hint="eastAsia" w:ascii="宋体" w:hAnsi="宋体" w:eastAsia="宋体" w:cs="宋体"/>
          <w:sz w:val="24"/>
          <w:u w:val="single"/>
        </w:rPr>
        <w:t xml:space="preserve">                                                                            </w:t>
      </w:r>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682" w:name="_Toc67418824"/>
      <w:bookmarkStart w:id="1683" w:name="_Toc9899"/>
      <w:bookmarkStart w:id="1684" w:name="_Toc302636038"/>
      <w:r>
        <w:rPr>
          <w:rFonts w:hint="eastAsia" w:ascii="宋体" w:hAnsi="宋体" w:eastAsia="宋体" w:cs="宋体"/>
          <w:sz w:val="24"/>
        </w:rPr>
        <w:t>26.7 履约评价与优质优价</w:t>
      </w:r>
      <w:bookmarkEnd w:id="1681"/>
      <w:bookmarkEnd w:id="1682"/>
      <w:bookmarkEnd w:id="1683"/>
      <w:bookmarkEnd w:id="1684"/>
    </w:p>
    <w:p>
      <w:pPr>
        <w:spacing w:line="360" w:lineRule="auto"/>
        <w:ind w:firstLine="480"/>
        <w:rPr>
          <w:rFonts w:hint="eastAsia" w:ascii="宋体" w:hAnsi="宋体" w:eastAsia="宋体" w:cs="宋体"/>
          <w:sz w:val="24"/>
          <w:u w:val="single"/>
        </w:rPr>
      </w:pPr>
      <w:r>
        <w:rPr>
          <w:rFonts w:hint="eastAsia" w:ascii="宋体" w:hAnsi="宋体" w:eastAsia="宋体" w:cs="宋体"/>
          <w:sz w:val="24"/>
        </w:rPr>
        <w:t>(1) 发包人对承包人的履约评价约定(可另附页)：</w:t>
      </w:r>
      <w:r>
        <w:rPr>
          <w:rFonts w:hint="eastAsia" w:ascii="宋体" w:hAnsi="宋体" w:eastAsia="宋体" w:cs="宋体"/>
          <w:bCs/>
          <w:sz w:val="24"/>
          <w:u w:val="single"/>
        </w:rPr>
        <w:t xml:space="preserve">                                    </w:t>
      </w:r>
    </w:p>
    <w:p>
      <w:pPr>
        <w:spacing w:line="360" w:lineRule="auto"/>
        <w:rPr>
          <w:rFonts w:hint="eastAsia" w:ascii="宋体" w:hAnsi="宋体" w:eastAsia="宋体" w:cs="宋体"/>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spacing w:line="360" w:lineRule="auto"/>
        <w:rPr>
          <w:rFonts w:hint="eastAsia" w:ascii="宋体" w:hAnsi="宋体" w:eastAsia="宋体" w:cs="宋体"/>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spacing w:line="360" w:lineRule="auto"/>
        <w:rPr>
          <w:rFonts w:hint="eastAsia" w:ascii="宋体" w:hAnsi="宋体" w:eastAsia="宋体" w:cs="宋体"/>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rPr>
          <w:rFonts w:hint="eastAsia" w:ascii="宋体" w:hAnsi="宋体" w:eastAsia="宋体" w:cs="宋体"/>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rPr>
          <w:rFonts w:hint="eastAsia" w:ascii="宋体" w:hAnsi="宋体" w:eastAsia="宋体" w:cs="宋体"/>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spacing w:line="360" w:lineRule="auto"/>
        <w:ind w:firstLine="480"/>
        <w:rPr>
          <w:rFonts w:hint="eastAsia" w:ascii="宋体" w:hAnsi="宋体" w:eastAsia="宋体" w:cs="宋体"/>
          <w:sz w:val="24"/>
        </w:rPr>
      </w:pPr>
      <w:r>
        <w:rPr>
          <w:rFonts w:hint="eastAsia" w:ascii="宋体" w:hAnsi="宋体" w:eastAsia="宋体" w:cs="宋体"/>
          <w:sz w:val="24"/>
        </w:rPr>
        <w:t>(2)履约评价奖励：发包人负责组织相关单位对承包人进行履约评价，对履约评价为良好及以上等级的，发包人应给予承包人本工程签约合同价的</w:t>
      </w:r>
      <w:r>
        <w:rPr>
          <w:rFonts w:hint="eastAsia" w:ascii="宋体" w:hAnsi="宋体" w:eastAsia="宋体" w:cs="宋体"/>
          <w:sz w:val="24"/>
          <w:u w:val="single"/>
        </w:rPr>
        <w:t xml:space="preserve">     </w:t>
      </w:r>
      <w:r>
        <w:rPr>
          <w:rFonts w:hint="eastAsia" w:ascii="宋体" w:hAnsi="宋体" w:eastAsia="宋体" w:cs="宋体"/>
          <w:sz w:val="24"/>
        </w:rPr>
        <w:t>%作为奖励。</w:t>
      </w:r>
    </w:p>
    <w:p>
      <w:pPr>
        <w:spacing w:line="360" w:lineRule="auto"/>
        <w:ind w:firstLine="480"/>
        <w:rPr>
          <w:rFonts w:hint="eastAsia" w:ascii="宋体" w:hAnsi="宋体" w:eastAsia="宋体" w:cs="宋体"/>
          <w:sz w:val="24"/>
        </w:rPr>
      </w:pPr>
      <w:r>
        <w:rPr>
          <w:rFonts w:hint="eastAsia" w:ascii="宋体" w:hAnsi="宋体" w:eastAsia="宋体" w:cs="宋体"/>
          <w:sz w:val="24"/>
        </w:rPr>
        <w:t>工程创优奖励：对履约评价为良好及以上等级，且取得</w:t>
      </w:r>
      <w:r>
        <w:rPr>
          <w:rFonts w:hint="eastAsia" w:ascii="宋体" w:hAnsi="宋体" w:eastAsia="宋体" w:cs="宋体"/>
          <w:sz w:val="24"/>
          <w:u w:val="single"/>
        </w:rPr>
        <w:t xml:space="preserve">           </w:t>
      </w:r>
      <w:r>
        <w:rPr>
          <w:rFonts w:hint="eastAsia" w:ascii="宋体" w:hAnsi="宋体" w:eastAsia="宋体" w:cs="宋体"/>
          <w:sz w:val="24"/>
        </w:rPr>
        <w:t>奖项的，发包人应在履约评价奖励基础上给予承包人追加本工程签约合同价的</w:t>
      </w:r>
      <w:r>
        <w:rPr>
          <w:rFonts w:hint="eastAsia" w:ascii="宋体" w:hAnsi="宋体" w:eastAsia="宋体" w:cs="宋体"/>
          <w:sz w:val="24"/>
          <w:u w:val="single"/>
        </w:rPr>
        <w:t xml:space="preserve">     </w:t>
      </w:r>
      <w:r>
        <w:rPr>
          <w:rFonts w:hint="eastAsia" w:ascii="宋体" w:hAnsi="宋体" w:eastAsia="宋体" w:cs="宋体"/>
          <w:sz w:val="24"/>
        </w:rPr>
        <w:t>%作为奖励。</w:t>
      </w:r>
    </w:p>
    <w:p>
      <w:pPr>
        <w:pStyle w:val="2"/>
        <w:keepNext w:val="0"/>
        <w:keepLines w:val="0"/>
        <w:numPr>
          <w:ilvl w:val="0"/>
          <w:numId w:val="0"/>
        </w:numPr>
        <w:tabs>
          <w:tab w:val="left" w:pos="540"/>
          <w:tab w:val="left" w:pos="720"/>
          <w:tab w:val="left" w:pos="1620"/>
          <w:tab w:val="left" w:pos="2340"/>
        </w:tabs>
        <w:spacing w:before="120" w:after="120"/>
        <w:ind w:left="178"/>
        <w:rPr>
          <w:rFonts w:hint="eastAsia" w:ascii="宋体" w:hAnsi="宋体" w:eastAsia="宋体" w:cs="宋体"/>
        </w:rPr>
      </w:pPr>
      <w:bookmarkStart w:id="1685" w:name="_Toc302636039"/>
      <w:bookmarkStart w:id="1686" w:name="_Toc15848"/>
      <w:bookmarkStart w:id="1687" w:name="_Toc67418825"/>
      <w:bookmarkStart w:id="1688" w:name="_Toc305331516"/>
      <w:r>
        <w:rPr>
          <w:rFonts w:hint="eastAsia" w:ascii="宋体" w:hAnsi="宋体" w:eastAsia="宋体" w:cs="宋体"/>
        </w:rPr>
        <w:t>27 竣工结算</w:t>
      </w:r>
      <w:bookmarkEnd w:id="1685"/>
      <w:bookmarkEnd w:id="1686"/>
      <w:bookmarkEnd w:id="1687"/>
      <w:bookmarkEnd w:id="1688"/>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689" w:name="_Toc1746"/>
      <w:bookmarkStart w:id="1690" w:name="_Toc302636040"/>
      <w:bookmarkStart w:id="1691" w:name="_Toc67418826"/>
      <w:bookmarkStart w:id="1692" w:name="_Toc305331517"/>
      <w:r>
        <w:rPr>
          <w:rFonts w:hint="eastAsia" w:ascii="宋体" w:hAnsi="宋体" w:eastAsia="宋体" w:cs="宋体"/>
          <w:sz w:val="24"/>
        </w:rPr>
        <w:t>27.1 竣工结算书的编制和提交</w:t>
      </w:r>
      <w:bookmarkEnd w:id="1689"/>
      <w:bookmarkEnd w:id="1690"/>
      <w:bookmarkEnd w:id="1691"/>
      <w:bookmarkEnd w:id="1692"/>
    </w:p>
    <w:p>
      <w:pPr>
        <w:spacing w:line="360" w:lineRule="auto"/>
        <w:ind w:firstLine="480"/>
        <w:rPr>
          <w:rFonts w:hint="eastAsia" w:ascii="宋体" w:hAnsi="宋体" w:eastAsia="宋体" w:cs="宋体"/>
          <w:sz w:val="24"/>
        </w:rPr>
      </w:pPr>
      <w:r>
        <w:rPr>
          <w:rFonts w:hint="eastAsia" w:ascii="宋体" w:hAnsi="宋体" w:eastAsia="宋体" w:cs="宋体"/>
          <w:sz w:val="24"/>
        </w:rPr>
        <w:t>(1)关于施工过程结算的具体约定：</w:t>
      </w:r>
      <w:r>
        <w:rPr>
          <w:rFonts w:hint="eastAsia" w:ascii="宋体" w:hAnsi="宋体" w:eastAsia="宋体" w:cs="宋体"/>
          <w:sz w:val="24"/>
          <w:u w:val="single"/>
        </w:rPr>
        <w:t xml:space="preserve">                            </w:t>
      </w:r>
      <w:r>
        <w:rPr>
          <w:rFonts w:hint="eastAsia" w:ascii="宋体" w:hAnsi="宋体" w:eastAsia="宋体" w:cs="宋体"/>
          <w:sz w:val="24"/>
        </w:rPr>
        <w:t>。</w:t>
      </w:r>
    </w:p>
    <w:p>
      <w:pPr>
        <w:spacing w:line="360" w:lineRule="auto"/>
        <w:ind w:firstLine="480"/>
        <w:rPr>
          <w:rFonts w:hint="eastAsia" w:ascii="宋体" w:hAnsi="宋体" w:eastAsia="宋体" w:cs="宋体"/>
          <w:sz w:val="24"/>
        </w:rPr>
      </w:pPr>
      <w:r>
        <w:rPr>
          <w:rFonts w:hint="eastAsia" w:ascii="宋体" w:hAnsi="宋体" w:eastAsia="宋体" w:cs="宋体"/>
          <w:sz w:val="24"/>
        </w:rPr>
        <w:t>(2)承包人向发包人提交竣工结算书及完整的结算资料的时间要求为本工程竣工验收合格后</w:t>
      </w:r>
      <w:r>
        <w:rPr>
          <w:rFonts w:hint="eastAsia" w:ascii="宋体" w:hAnsi="宋体" w:eastAsia="宋体" w:cs="宋体"/>
          <w:sz w:val="24"/>
          <w:u w:val="single"/>
        </w:rPr>
        <w:t xml:space="preserve">         </w:t>
      </w:r>
      <w:r>
        <w:rPr>
          <w:rFonts w:hint="eastAsia" w:ascii="宋体" w:hAnsi="宋体" w:eastAsia="宋体" w:cs="宋体"/>
          <w:sz w:val="24"/>
        </w:rPr>
        <w:t>天。</w:t>
      </w:r>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693" w:name="_Toc302636041"/>
      <w:bookmarkStart w:id="1694" w:name="_Toc67418827"/>
      <w:bookmarkStart w:id="1695" w:name="_Toc3424"/>
      <w:bookmarkStart w:id="1696" w:name="_Toc305331518"/>
      <w:r>
        <w:rPr>
          <w:rFonts w:hint="eastAsia" w:ascii="宋体" w:hAnsi="宋体" w:eastAsia="宋体" w:cs="宋体"/>
          <w:sz w:val="24"/>
        </w:rPr>
        <w:t>27.2 竣工结算书的核对和修改</w:t>
      </w:r>
      <w:bookmarkEnd w:id="1693"/>
      <w:bookmarkEnd w:id="1694"/>
      <w:bookmarkEnd w:id="1695"/>
      <w:bookmarkEnd w:id="1696"/>
    </w:p>
    <w:p>
      <w:pPr>
        <w:spacing w:line="360" w:lineRule="auto"/>
        <w:ind w:firstLine="480"/>
        <w:jc w:val="left"/>
        <w:rPr>
          <w:rFonts w:hint="eastAsia" w:ascii="宋体" w:hAnsi="宋体" w:eastAsia="宋体" w:cs="宋体"/>
          <w:sz w:val="24"/>
        </w:rPr>
      </w:pPr>
      <w:r>
        <w:rPr>
          <w:rFonts w:hint="eastAsia" w:ascii="宋体" w:hAnsi="宋体" w:eastAsia="宋体" w:cs="宋体"/>
          <w:sz w:val="24"/>
        </w:rPr>
        <w:t>(1)发包人核对竣工结算书的期限为承包人提交竣工结算书和完整结算资料后</w:t>
      </w:r>
      <w:r>
        <w:rPr>
          <w:rFonts w:hint="eastAsia" w:ascii="宋体" w:hAnsi="宋体" w:eastAsia="宋体" w:cs="宋体"/>
          <w:sz w:val="24"/>
          <w:u w:val="single"/>
        </w:rPr>
        <w:t xml:space="preserve">       </w:t>
      </w:r>
      <w:r>
        <w:rPr>
          <w:rFonts w:hint="eastAsia" w:ascii="宋体" w:hAnsi="宋体" w:eastAsia="宋体" w:cs="宋体"/>
          <w:sz w:val="24"/>
        </w:rPr>
        <w:t>天。</w:t>
      </w:r>
    </w:p>
    <w:p>
      <w:pPr>
        <w:spacing w:line="360" w:lineRule="auto"/>
        <w:ind w:firstLine="480"/>
        <w:rPr>
          <w:rFonts w:hint="eastAsia" w:ascii="宋体" w:hAnsi="宋体" w:eastAsia="宋体" w:cs="宋体"/>
          <w:sz w:val="24"/>
        </w:rPr>
      </w:pPr>
      <w:r>
        <w:rPr>
          <w:rFonts w:hint="eastAsia" w:ascii="宋体" w:hAnsi="宋体" w:eastAsia="宋体" w:cs="宋体"/>
          <w:sz w:val="24"/>
        </w:rPr>
        <w:t>(2)承包人提交修改竣工结算书或补充结算资料的期限为发包人提出核对意见或补充结算资料要求后</w:t>
      </w:r>
      <w:r>
        <w:rPr>
          <w:rFonts w:hint="eastAsia" w:ascii="宋体" w:hAnsi="宋体" w:eastAsia="宋体" w:cs="宋体"/>
          <w:sz w:val="24"/>
          <w:u w:val="single"/>
        </w:rPr>
        <w:t xml:space="preserve">       </w:t>
      </w:r>
      <w:r>
        <w:rPr>
          <w:rFonts w:hint="eastAsia" w:ascii="宋体" w:hAnsi="宋体" w:eastAsia="宋体" w:cs="宋体"/>
          <w:sz w:val="24"/>
        </w:rPr>
        <w:t>天；发包人核对经修改的竣工结算书的期限为承包人提交修改竣工结算书或补充结算资料后</w:t>
      </w:r>
      <w:r>
        <w:rPr>
          <w:rFonts w:hint="eastAsia" w:ascii="宋体" w:hAnsi="宋体" w:eastAsia="宋体" w:cs="宋体"/>
          <w:sz w:val="24"/>
          <w:u w:val="single"/>
        </w:rPr>
        <w:t xml:space="preserve">       </w:t>
      </w:r>
      <w:r>
        <w:rPr>
          <w:rFonts w:hint="eastAsia" w:ascii="宋体" w:hAnsi="宋体" w:eastAsia="宋体" w:cs="宋体"/>
          <w:sz w:val="24"/>
        </w:rPr>
        <w:t>天。</w:t>
      </w:r>
    </w:p>
    <w:p>
      <w:pPr>
        <w:spacing w:line="360" w:lineRule="auto"/>
        <w:ind w:firstLine="480"/>
        <w:rPr>
          <w:rFonts w:hint="eastAsia" w:ascii="宋体" w:hAnsi="宋体" w:eastAsia="宋体" w:cs="宋体"/>
          <w:sz w:val="24"/>
        </w:rPr>
      </w:pPr>
      <w:r>
        <w:rPr>
          <w:rFonts w:hint="eastAsia" w:ascii="宋体" w:hAnsi="宋体" w:eastAsia="宋体" w:cs="宋体"/>
          <w:sz w:val="24"/>
        </w:rPr>
        <w:t>(3)对发包人提出的核对意见承包人应提出异议的期限为</w:t>
      </w:r>
      <w:r>
        <w:rPr>
          <w:rFonts w:hint="eastAsia" w:ascii="宋体" w:hAnsi="宋体" w:eastAsia="宋体" w:cs="宋体"/>
          <w:sz w:val="24"/>
          <w:u w:val="single"/>
        </w:rPr>
        <w:t xml:space="preserve">        </w:t>
      </w:r>
      <w:r>
        <w:rPr>
          <w:rFonts w:hint="eastAsia" w:ascii="宋体" w:hAnsi="宋体" w:eastAsia="宋体" w:cs="宋体"/>
          <w:sz w:val="24"/>
        </w:rPr>
        <w:t>天。</w:t>
      </w:r>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697" w:name="_Toc305331519"/>
      <w:bookmarkStart w:id="1698" w:name="_Toc28228"/>
      <w:bookmarkStart w:id="1699" w:name="_Toc67418828"/>
      <w:bookmarkStart w:id="1700" w:name="_Toc302636042"/>
      <w:r>
        <w:rPr>
          <w:rFonts w:hint="eastAsia" w:ascii="宋体" w:hAnsi="宋体" w:eastAsia="宋体" w:cs="宋体"/>
          <w:sz w:val="24"/>
        </w:rPr>
        <w:t>27.3 竣工结算书核对次数</w:t>
      </w:r>
      <w:bookmarkEnd w:id="1697"/>
      <w:bookmarkEnd w:id="1698"/>
      <w:bookmarkEnd w:id="1699"/>
      <w:bookmarkEnd w:id="1700"/>
    </w:p>
    <w:p>
      <w:pPr>
        <w:spacing w:line="360" w:lineRule="auto"/>
        <w:ind w:firstLine="480"/>
        <w:jc w:val="left"/>
        <w:rPr>
          <w:rFonts w:hint="eastAsia" w:ascii="宋体" w:hAnsi="宋体" w:eastAsia="宋体" w:cs="宋体"/>
          <w:sz w:val="24"/>
        </w:rPr>
      </w:pPr>
      <w:r>
        <w:rPr>
          <w:rFonts w:hint="eastAsia" w:ascii="宋体" w:hAnsi="宋体" w:eastAsia="宋体" w:cs="宋体"/>
          <w:sz w:val="24"/>
        </w:rPr>
        <w:t>(1)发包人指派的竣工结算核对人为：</w:t>
      </w:r>
      <w:r>
        <w:rPr>
          <w:rFonts w:hint="eastAsia" w:ascii="宋体" w:hAnsi="宋体" w:eastAsia="宋体" w:cs="宋体"/>
          <w:sz w:val="24"/>
          <w:u w:val="single"/>
        </w:rPr>
        <w:t xml:space="preserve">                            </w:t>
      </w:r>
    </w:p>
    <w:p>
      <w:pPr>
        <w:spacing w:line="360" w:lineRule="auto"/>
        <w:ind w:firstLine="480"/>
        <w:rPr>
          <w:rFonts w:hint="eastAsia" w:ascii="宋体" w:hAnsi="宋体" w:eastAsia="宋体" w:cs="宋体"/>
          <w:sz w:val="24"/>
        </w:rPr>
      </w:pPr>
      <w:r>
        <w:rPr>
          <w:rFonts w:hint="eastAsia" w:ascii="宋体" w:hAnsi="宋体" w:eastAsia="宋体" w:cs="宋体"/>
          <w:sz w:val="24"/>
        </w:rPr>
        <w:t>核对次数为：</w:t>
      </w:r>
      <w:r>
        <w:rPr>
          <w:rFonts w:hint="eastAsia" w:ascii="宋体" w:hAnsi="宋体" w:eastAsia="宋体" w:cs="宋体"/>
          <w:sz w:val="24"/>
          <w:u w:val="single"/>
        </w:rPr>
        <w:t xml:space="preserve">       </w:t>
      </w:r>
      <w:r>
        <w:rPr>
          <w:rFonts w:hint="eastAsia" w:ascii="宋体" w:hAnsi="宋体" w:eastAsia="宋体" w:cs="宋体"/>
          <w:sz w:val="24"/>
        </w:rPr>
        <w:t xml:space="preserve">次。    </w:t>
      </w:r>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701" w:name="_Toc25759"/>
      <w:bookmarkStart w:id="1702" w:name="_Toc67418829"/>
      <w:bookmarkStart w:id="1703" w:name="_Toc302636043"/>
      <w:r>
        <w:rPr>
          <w:rFonts w:hint="eastAsia" w:ascii="宋体" w:hAnsi="宋体" w:eastAsia="宋体" w:cs="宋体"/>
          <w:sz w:val="24"/>
        </w:rPr>
        <w:t>27.4 承包人不提交竣工结算书</w:t>
      </w:r>
      <w:bookmarkEnd w:id="1701"/>
      <w:bookmarkEnd w:id="1702"/>
    </w:p>
    <w:p>
      <w:pPr>
        <w:spacing w:line="360" w:lineRule="auto"/>
        <w:ind w:firstLine="480"/>
        <w:rPr>
          <w:rFonts w:hint="eastAsia" w:ascii="宋体" w:hAnsi="宋体" w:eastAsia="宋体" w:cs="宋体"/>
          <w:sz w:val="24"/>
        </w:rPr>
      </w:pPr>
      <w:r>
        <w:rPr>
          <w:rFonts w:hint="eastAsia" w:ascii="宋体" w:hAnsi="宋体" w:eastAsia="宋体" w:cs="宋体"/>
          <w:sz w:val="24"/>
        </w:rPr>
        <w:t>承包人在收到监理人通知14天内仍不提交竣工结算书及结算资料的，发包人选择以下方式处理：</w:t>
      </w:r>
    </w:p>
    <w:p>
      <w:pPr>
        <w:spacing w:line="360" w:lineRule="auto"/>
        <w:ind w:left="178" w:firstLine="480"/>
        <w:rPr>
          <w:rFonts w:hint="eastAsia" w:ascii="宋体" w:hAnsi="宋体" w:eastAsia="宋体" w:cs="宋体"/>
          <w:sz w:val="24"/>
        </w:rPr>
      </w:pPr>
      <w:r>
        <w:rPr>
          <w:rFonts w:hint="eastAsia" w:ascii="宋体" w:hAnsi="宋体" w:eastAsia="宋体" w:cs="宋体"/>
          <w:sz w:val="24"/>
        </w:rPr>
        <w:drawing>
          <wp:inline distT="0" distB="0" distL="114300" distR="114300">
            <wp:extent cx="152400" cy="142875"/>
            <wp:effectExtent l="0" t="0" r="0" b="9525"/>
            <wp:docPr id="146"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图片 115"/>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sz w:val="24"/>
        </w:rPr>
        <w:t>(1)发包人根据已有资料审查、核实确定竣工结算价款；</w:t>
      </w:r>
    </w:p>
    <w:p>
      <w:pPr>
        <w:spacing w:line="360" w:lineRule="auto"/>
        <w:ind w:left="178" w:firstLine="480"/>
        <w:rPr>
          <w:rFonts w:hint="eastAsia" w:ascii="宋体" w:hAnsi="宋体" w:eastAsia="宋体" w:cs="宋体"/>
          <w:sz w:val="24"/>
        </w:rPr>
      </w:pPr>
      <w:r>
        <w:rPr>
          <w:rFonts w:hint="eastAsia" w:ascii="宋体" w:hAnsi="宋体" w:eastAsia="宋体" w:cs="宋体"/>
          <w:sz w:val="24"/>
        </w:rPr>
        <w:drawing>
          <wp:inline distT="0" distB="0" distL="114300" distR="114300">
            <wp:extent cx="152400" cy="142875"/>
            <wp:effectExtent l="0" t="0" r="0" b="9525"/>
            <wp:docPr id="147"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图片 116"/>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sz w:val="24"/>
        </w:rPr>
        <w:t>(2)延期一天处以承包人签约合同价</w:t>
      </w:r>
      <w:r>
        <w:rPr>
          <w:rFonts w:hint="eastAsia" w:ascii="宋体" w:hAnsi="宋体" w:eastAsia="宋体" w:cs="宋体"/>
          <w:sz w:val="24"/>
          <w:u w:val="single"/>
        </w:rPr>
        <w:t xml:space="preserve">   </w:t>
      </w:r>
      <w:r>
        <w:rPr>
          <w:rFonts w:hint="eastAsia" w:ascii="宋体" w:hAnsi="宋体" w:eastAsia="宋体" w:cs="宋体"/>
          <w:sz w:val="24"/>
        </w:rPr>
        <w:t>％的罚款，罚款金额不超过签约合同价</w:t>
      </w:r>
      <w:r>
        <w:rPr>
          <w:rFonts w:hint="eastAsia" w:ascii="宋体" w:hAnsi="宋体" w:eastAsia="宋体" w:cs="宋体"/>
          <w:sz w:val="24"/>
          <w:u w:val="single"/>
        </w:rPr>
        <w:t xml:space="preserve">    </w:t>
      </w:r>
      <w:r>
        <w:rPr>
          <w:rFonts w:hint="eastAsia" w:ascii="宋体" w:hAnsi="宋体" w:eastAsia="宋体" w:cs="宋体"/>
          <w:sz w:val="24"/>
        </w:rPr>
        <w:t>％。</w:t>
      </w:r>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704" w:name="_Toc67418830"/>
      <w:bookmarkStart w:id="1705" w:name="_Toc4715"/>
      <w:r>
        <w:rPr>
          <w:rFonts w:hint="eastAsia" w:ascii="宋体" w:hAnsi="宋体" w:eastAsia="宋体" w:cs="宋体"/>
          <w:sz w:val="24"/>
        </w:rPr>
        <w:t>27.5 发包人逾期不结算</w:t>
      </w:r>
      <w:bookmarkEnd w:id="1703"/>
      <w:bookmarkEnd w:id="1704"/>
      <w:bookmarkEnd w:id="1705"/>
    </w:p>
    <w:p>
      <w:pPr>
        <w:spacing w:line="360" w:lineRule="auto"/>
        <w:ind w:firstLine="480"/>
        <w:rPr>
          <w:rFonts w:hint="eastAsia" w:ascii="宋体" w:hAnsi="宋体" w:eastAsia="宋体" w:cs="宋体"/>
          <w:b/>
          <w:sz w:val="24"/>
        </w:rPr>
      </w:pPr>
      <w:r>
        <w:rPr>
          <w:rFonts w:hint="eastAsia" w:ascii="宋体" w:hAnsi="宋体" w:eastAsia="宋体" w:cs="宋体"/>
          <w:sz w:val="24"/>
        </w:rPr>
        <w:t>发包人收到竣工结算书及结算资料的处理时限为：</w:t>
      </w:r>
      <w:r>
        <w:rPr>
          <w:rFonts w:hint="eastAsia" w:ascii="宋体" w:hAnsi="宋体" w:eastAsia="宋体" w:cs="宋体"/>
          <w:sz w:val="24"/>
          <w:u w:val="single"/>
        </w:rPr>
        <w:t xml:space="preserve">          </w:t>
      </w:r>
      <w:r>
        <w:rPr>
          <w:rFonts w:hint="eastAsia" w:ascii="宋体" w:hAnsi="宋体" w:eastAsia="宋体" w:cs="宋体"/>
          <w:sz w:val="24"/>
        </w:rPr>
        <w:t>；</w:t>
      </w:r>
    </w:p>
    <w:p>
      <w:pPr>
        <w:spacing w:line="360" w:lineRule="auto"/>
        <w:ind w:firstLine="480"/>
        <w:rPr>
          <w:rFonts w:hint="eastAsia" w:ascii="宋体" w:hAnsi="宋体" w:eastAsia="宋体" w:cs="宋体"/>
          <w:sz w:val="24"/>
        </w:rPr>
      </w:pPr>
      <w:r>
        <w:rPr>
          <w:rFonts w:hint="eastAsia" w:ascii="宋体" w:hAnsi="宋体" w:eastAsia="宋体" w:cs="宋体"/>
          <w:sz w:val="24"/>
        </w:rPr>
        <w:t>发包人收到经修改的竣工结算书或补充结算资料的处理时限为：</w:t>
      </w:r>
      <w:r>
        <w:rPr>
          <w:rFonts w:hint="eastAsia" w:ascii="宋体" w:hAnsi="宋体" w:eastAsia="宋体" w:cs="宋体"/>
          <w:sz w:val="24"/>
          <w:u w:val="single"/>
        </w:rPr>
        <w:t xml:space="preserve">          </w:t>
      </w:r>
      <w:r>
        <w:rPr>
          <w:rFonts w:hint="eastAsia" w:ascii="宋体" w:hAnsi="宋体" w:eastAsia="宋体" w:cs="宋体"/>
          <w:sz w:val="24"/>
        </w:rPr>
        <w:t xml:space="preserve">；   </w:t>
      </w:r>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706" w:name="_Toc67418831"/>
      <w:bookmarkStart w:id="1707" w:name="_Toc671"/>
      <w:bookmarkStart w:id="1708" w:name="_Toc302636044"/>
      <w:r>
        <w:rPr>
          <w:rFonts w:hint="eastAsia" w:ascii="宋体" w:hAnsi="宋体" w:eastAsia="宋体" w:cs="宋体"/>
          <w:sz w:val="24"/>
        </w:rPr>
        <w:t>27.6 竣工结算审计或审核</w:t>
      </w:r>
      <w:bookmarkEnd w:id="1706"/>
      <w:bookmarkEnd w:id="1707"/>
    </w:p>
    <w:p>
      <w:pPr>
        <w:spacing w:line="360" w:lineRule="auto"/>
        <w:ind w:firstLine="480"/>
        <w:rPr>
          <w:rFonts w:hint="eastAsia" w:ascii="宋体" w:hAnsi="宋体" w:eastAsia="宋体" w:cs="宋体"/>
          <w:sz w:val="24"/>
        </w:rPr>
      </w:pPr>
      <w:r>
        <w:rPr>
          <w:rFonts w:hint="eastAsia" w:ascii="宋体" w:hAnsi="宋体" w:eastAsia="宋体" w:cs="宋体"/>
          <w:sz w:val="24"/>
        </w:rPr>
        <w:t>(1)在以下情况下，发包人可启动强制结算机制，将其单方编制的结算文件送审计或审核：</w:t>
      </w: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p>
    <w:p>
      <w:pPr>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r>
        <w:rPr>
          <w:rFonts w:hint="eastAsia" w:ascii="宋体" w:hAnsi="宋体" w:eastAsia="宋体" w:cs="宋体"/>
          <w:sz w:val="24"/>
        </w:rPr>
        <w:t xml:space="preserve"> </w:t>
      </w:r>
    </w:p>
    <w:p>
      <w:pPr>
        <w:spacing w:before="156" w:beforeLines="50"/>
        <w:rPr>
          <w:rFonts w:hint="eastAsia" w:ascii="宋体" w:hAnsi="宋体" w:eastAsia="宋体" w:cs="宋体"/>
          <w:sz w:val="24"/>
          <w:u w:val="single"/>
        </w:rPr>
      </w:pP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pPr>
        <w:spacing w:before="156" w:beforeLines="50"/>
        <w:ind w:firstLine="480" w:firstLineChars="200"/>
        <w:rPr>
          <w:rFonts w:hint="eastAsia" w:ascii="宋体" w:hAnsi="宋体" w:eastAsia="宋体" w:cs="宋体"/>
          <w:sz w:val="24"/>
          <w:u w:val="single"/>
        </w:rPr>
      </w:pPr>
      <w:r>
        <w:rPr>
          <w:rFonts w:hint="eastAsia" w:ascii="宋体" w:hAnsi="宋体" w:eastAsia="宋体" w:cs="宋体"/>
          <w:sz w:val="24"/>
        </w:rPr>
        <w:t>(2)本合同最终的竣工结算和支付依据约定如下：（注：只能选择一种方式，在选定的方式前的“□”内打“</w:t>
      </w:r>
      <w:r>
        <w:rPr>
          <w:rFonts w:hint="eastAsia" w:ascii="宋体" w:hAnsi="宋体" w:eastAsia="宋体" w:cs="宋体"/>
          <w:sz w:val="24"/>
        </w:rPr>
        <w:sym w:font="Symbol" w:char="F0D6"/>
      </w:r>
      <w:r>
        <w:rPr>
          <w:rFonts w:hint="eastAsia" w:ascii="宋体" w:hAnsi="宋体" w:eastAsia="宋体" w:cs="宋体"/>
          <w:sz w:val="24"/>
        </w:rPr>
        <w:t>”</w:t>
      </w:r>
      <w:r>
        <w:rPr>
          <w:rFonts w:hint="eastAsia" w:ascii="宋体" w:hAnsi="宋体" w:eastAsia="宋体" w:cs="宋体"/>
          <w:kern w:val="0"/>
        </w:rPr>
        <w:t>）</w:t>
      </w:r>
    </w:p>
    <w:p>
      <w:pPr>
        <w:tabs>
          <w:tab w:val="left" w:pos="1620"/>
          <w:tab w:val="left" w:pos="2340"/>
        </w:tabs>
        <w:spacing w:before="156" w:after="156"/>
        <w:ind w:firstLine="480" w:firstLineChars="200"/>
        <w:jc w:val="left"/>
        <w:rPr>
          <w:rFonts w:hint="eastAsia" w:ascii="宋体" w:hAnsi="宋体" w:eastAsia="宋体" w:cs="宋体"/>
          <w:sz w:val="24"/>
        </w:rPr>
      </w:pPr>
      <w:r>
        <w:rPr>
          <w:rFonts w:hint="eastAsia" w:ascii="宋体" w:hAnsi="宋体" w:eastAsia="宋体" w:cs="宋体"/>
          <w:sz w:val="24"/>
        </w:rPr>
        <w:t>□以经过政府指定机构审计或审核结果作为最终的竣工结算和支付依据。</w:t>
      </w:r>
    </w:p>
    <w:p>
      <w:pPr>
        <w:tabs>
          <w:tab w:val="left" w:pos="1620"/>
          <w:tab w:val="left" w:pos="2340"/>
        </w:tabs>
        <w:spacing w:before="156" w:after="156"/>
        <w:ind w:firstLine="480" w:firstLineChars="200"/>
        <w:jc w:val="left"/>
        <w:rPr>
          <w:rFonts w:hint="eastAsia" w:ascii="宋体" w:hAnsi="宋体" w:eastAsia="宋体" w:cs="宋体"/>
          <w:sz w:val="24"/>
        </w:rPr>
      </w:pPr>
      <w:r>
        <w:rPr>
          <w:rFonts w:hint="eastAsia" w:ascii="宋体" w:hAnsi="宋体" w:eastAsia="宋体" w:cs="宋体"/>
          <w:sz w:val="24"/>
        </w:rPr>
        <w:t>□以</w:t>
      </w:r>
      <w:r>
        <w:rPr>
          <w:rFonts w:hint="eastAsia" w:ascii="宋体" w:hAnsi="宋体" w:eastAsia="宋体" w:cs="宋体"/>
          <w:sz w:val="24"/>
          <w:u w:val="single"/>
        </w:rPr>
        <w:t xml:space="preserve">                          </w:t>
      </w:r>
      <w:r>
        <w:rPr>
          <w:rFonts w:hint="eastAsia" w:ascii="宋体" w:hAnsi="宋体" w:eastAsia="宋体" w:cs="宋体"/>
          <w:sz w:val="24"/>
        </w:rPr>
        <w:t>作为最终的竣工结算和支付依据。</w:t>
      </w:r>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709" w:name="_Toc67418832"/>
      <w:bookmarkStart w:id="1710" w:name="_Toc170"/>
      <w:r>
        <w:rPr>
          <w:rFonts w:hint="eastAsia" w:ascii="宋体" w:hAnsi="宋体" w:eastAsia="宋体" w:cs="宋体"/>
          <w:sz w:val="24"/>
        </w:rPr>
        <w:t>27.8 最终结清申请</w:t>
      </w:r>
      <w:bookmarkEnd w:id="1708"/>
      <w:bookmarkEnd w:id="1709"/>
      <w:bookmarkEnd w:id="1710"/>
    </w:p>
    <w:p>
      <w:pPr>
        <w:spacing w:line="360" w:lineRule="auto"/>
        <w:ind w:firstLine="480" w:firstLineChars="200"/>
        <w:jc w:val="left"/>
        <w:rPr>
          <w:rFonts w:hint="eastAsia" w:ascii="宋体" w:hAnsi="宋体" w:eastAsia="宋体" w:cs="宋体"/>
          <w:kern w:val="0"/>
          <w:sz w:val="30"/>
          <w:szCs w:val="32"/>
        </w:rPr>
      </w:pPr>
      <w:r>
        <w:rPr>
          <w:rFonts w:hint="eastAsia" w:ascii="宋体" w:hAnsi="宋体" w:eastAsia="宋体" w:cs="宋体"/>
          <w:sz w:val="24"/>
        </w:rPr>
        <w:t>(1) 承包人提交最终结清申请单的份数：</w:t>
      </w:r>
      <w:r>
        <w:rPr>
          <w:rFonts w:hint="eastAsia" w:ascii="宋体" w:hAnsi="宋体" w:eastAsia="宋体" w:cs="宋体"/>
          <w:sz w:val="30"/>
          <w:szCs w:val="32"/>
          <w:u w:val="single"/>
        </w:rPr>
        <w:t xml:space="preserve">                    </w:t>
      </w:r>
      <w:r>
        <w:rPr>
          <w:rFonts w:hint="eastAsia" w:ascii="宋体" w:hAnsi="宋体" w:eastAsia="宋体" w:cs="宋体"/>
          <w:sz w:val="30"/>
          <w:szCs w:val="32"/>
        </w:rPr>
        <w:t>。</w:t>
      </w:r>
    </w:p>
    <w:p>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最终结清申请单关于质量保证金、应扣除的质量保证金、缺陷责任期内发生的增减费用的约定：</w:t>
      </w:r>
      <w:r>
        <w:rPr>
          <w:rFonts w:hint="eastAsia" w:ascii="宋体" w:hAnsi="宋体" w:eastAsia="宋体" w:cs="宋体"/>
          <w:sz w:val="24"/>
          <w:u w:val="single"/>
        </w:rPr>
        <w:t xml:space="preserve">                                               </w:t>
      </w:r>
      <w:r>
        <w:rPr>
          <w:rFonts w:hint="eastAsia" w:ascii="宋体" w:hAnsi="宋体" w:eastAsia="宋体" w:cs="宋体"/>
          <w:sz w:val="24"/>
        </w:rPr>
        <w:t>；</w:t>
      </w:r>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711" w:name="_Toc67418833"/>
      <w:bookmarkStart w:id="1712" w:name="_Toc10307"/>
      <w:bookmarkStart w:id="1713" w:name="_Toc302636045"/>
      <w:r>
        <w:rPr>
          <w:rFonts w:hint="eastAsia" w:ascii="宋体" w:hAnsi="宋体" w:eastAsia="宋体" w:cs="宋体"/>
          <w:sz w:val="24"/>
        </w:rPr>
        <w:t>27.9 最终结清证书和支付</w:t>
      </w:r>
      <w:bookmarkEnd w:id="1711"/>
      <w:bookmarkEnd w:id="1712"/>
      <w:bookmarkEnd w:id="1713"/>
    </w:p>
    <w:p>
      <w:pPr>
        <w:spacing w:line="360" w:lineRule="auto"/>
        <w:ind w:firstLine="480" w:firstLineChars="200"/>
        <w:jc w:val="left"/>
        <w:rPr>
          <w:rFonts w:hint="eastAsia" w:ascii="宋体" w:hAnsi="宋体" w:eastAsia="宋体" w:cs="宋体"/>
          <w:sz w:val="30"/>
          <w:szCs w:val="32"/>
        </w:rPr>
      </w:pPr>
      <w:r>
        <w:rPr>
          <w:rFonts w:hint="eastAsia" w:ascii="宋体" w:hAnsi="宋体" w:eastAsia="宋体" w:cs="宋体"/>
          <w:sz w:val="24"/>
        </w:rPr>
        <w:t>（1）发包人完成最终结清申请的审批并颁发最终结清证书的期限：</w:t>
      </w:r>
      <w:r>
        <w:rPr>
          <w:rFonts w:hint="eastAsia" w:ascii="宋体" w:hAnsi="宋体" w:eastAsia="宋体" w:cs="宋体"/>
          <w:sz w:val="30"/>
          <w:szCs w:val="32"/>
          <w:u w:val="single"/>
        </w:rPr>
        <w:t xml:space="preserve">                                                  </w:t>
      </w:r>
      <w:r>
        <w:rPr>
          <w:rFonts w:hint="eastAsia" w:ascii="宋体" w:hAnsi="宋体" w:eastAsia="宋体" w:cs="宋体"/>
          <w:sz w:val="30"/>
          <w:szCs w:val="32"/>
        </w:rPr>
        <w:t>。</w:t>
      </w:r>
    </w:p>
    <w:p>
      <w:pPr>
        <w:spacing w:line="360" w:lineRule="auto"/>
        <w:ind w:firstLine="480" w:firstLineChars="200"/>
        <w:jc w:val="left"/>
        <w:rPr>
          <w:rFonts w:hint="eastAsia" w:ascii="宋体" w:hAnsi="宋体" w:eastAsia="宋体" w:cs="宋体"/>
          <w:sz w:val="30"/>
          <w:szCs w:val="32"/>
        </w:rPr>
      </w:pPr>
      <w:r>
        <w:rPr>
          <w:rFonts w:hint="eastAsia" w:ascii="宋体" w:hAnsi="宋体" w:eastAsia="宋体" w:cs="宋体"/>
          <w:sz w:val="24"/>
        </w:rPr>
        <w:t>（2）发包人完成支付的期限：</w:t>
      </w:r>
      <w:r>
        <w:rPr>
          <w:rFonts w:hint="eastAsia" w:ascii="宋体" w:hAnsi="宋体" w:eastAsia="宋体" w:cs="宋体"/>
          <w:sz w:val="30"/>
          <w:szCs w:val="32"/>
          <w:u w:val="single"/>
        </w:rPr>
        <w:t xml:space="preserve">                         </w:t>
      </w:r>
      <w:r>
        <w:rPr>
          <w:rFonts w:hint="eastAsia" w:ascii="宋体" w:hAnsi="宋体" w:eastAsia="宋体" w:cs="宋体"/>
          <w:sz w:val="30"/>
          <w:szCs w:val="32"/>
        </w:rPr>
        <w:t>。</w:t>
      </w:r>
    </w:p>
    <w:p>
      <w:pPr>
        <w:pStyle w:val="2"/>
        <w:keepNext w:val="0"/>
        <w:keepLines w:val="0"/>
        <w:numPr>
          <w:ilvl w:val="0"/>
          <w:numId w:val="0"/>
        </w:numPr>
        <w:tabs>
          <w:tab w:val="left" w:pos="540"/>
          <w:tab w:val="left" w:pos="720"/>
          <w:tab w:val="left" w:pos="1620"/>
          <w:tab w:val="left" w:pos="2340"/>
        </w:tabs>
        <w:spacing w:before="120" w:after="120"/>
        <w:ind w:left="178"/>
        <w:rPr>
          <w:rFonts w:hint="eastAsia" w:ascii="宋体" w:hAnsi="宋体" w:eastAsia="宋体" w:cs="宋体"/>
        </w:rPr>
      </w:pPr>
      <w:bookmarkStart w:id="1714" w:name="_Toc302636046"/>
      <w:bookmarkStart w:id="1715" w:name="_Toc67418834"/>
      <w:bookmarkStart w:id="1716" w:name="_Toc35656549"/>
      <w:bookmarkStart w:id="1717" w:name="_Toc305331520"/>
      <w:bookmarkStart w:id="1718" w:name="_Toc25406"/>
      <w:r>
        <w:rPr>
          <w:rFonts w:hint="eastAsia" w:ascii="宋体" w:hAnsi="宋体" w:eastAsia="宋体" w:cs="宋体"/>
        </w:rPr>
        <w:t>28 违约</w:t>
      </w:r>
      <w:bookmarkEnd w:id="1714"/>
      <w:bookmarkEnd w:id="1715"/>
      <w:bookmarkEnd w:id="1716"/>
      <w:bookmarkEnd w:id="1717"/>
      <w:bookmarkEnd w:id="1718"/>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719" w:name="_Toc302636047"/>
      <w:bookmarkStart w:id="1720" w:name="_Toc305331521"/>
      <w:bookmarkStart w:id="1721" w:name="_Toc67418835"/>
      <w:bookmarkStart w:id="1722" w:name="_Toc6190"/>
      <w:r>
        <w:rPr>
          <w:rFonts w:hint="eastAsia" w:ascii="宋体" w:hAnsi="宋体" w:eastAsia="宋体" w:cs="宋体"/>
          <w:sz w:val="24"/>
        </w:rPr>
        <w:t>28.1 发包人违约</w:t>
      </w:r>
      <w:bookmarkEnd w:id="1719"/>
      <w:bookmarkEnd w:id="1720"/>
      <w:bookmarkEnd w:id="1721"/>
      <w:bookmarkEnd w:id="1722"/>
    </w:p>
    <w:p>
      <w:pPr>
        <w:spacing w:line="360" w:lineRule="auto"/>
        <w:ind w:firstLine="480" w:firstLineChars="200"/>
        <w:jc w:val="left"/>
        <w:rPr>
          <w:rFonts w:hint="eastAsia" w:ascii="宋体" w:hAnsi="宋体" w:eastAsia="宋体" w:cs="宋体"/>
          <w:sz w:val="24"/>
        </w:rPr>
      </w:pPr>
      <w:bookmarkStart w:id="1723" w:name="_Toc305331522"/>
      <w:r>
        <w:rPr>
          <w:rFonts w:hint="eastAsia" w:ascii="宋体" w:hAnsi="宋体" w:eastAsia="宋体" w:cs="宋体"/>
          <w:sz w:val="24"/>
        </w:rPr>
        <w:t>发包人违约责任的承担方式和计算方法：</w:t>
      </w:r>
    </w:p>
    <w:p>
      <w:pPr>
        <w:spacing w:line="360" w:lineRule="auto"/>
        <w:ind w:firstLine="480" w:firstLineChars="200"/>
        <w:jc w:val="left"/>
        <w:rPr>
          <w:rFonts w:hint="eastAsia" w:ascii="宋体" w:hAnsi="宋体" w:eastAsia="宋体" w:cs="宋体"/>
          <w:kern w:val="0"/>
          <w:sz w:val="30"/>
          <w:szCs w:val="32"/>
          <w:u w:val="single"/>
        </w:rPr>
      </w:pPr>
      <w:r>
        <w:rPr>
          <w:rFonts w:hint="eastAsia" w:ascii="宋体" w:hAnsi="宋体" w:eastAsia="宋体" w:cs="宋体"/>
          <w:sz w:val="24"/>
        </w:rPr>
        <w:t>（1）因发包人原因未能在计划开工日期前7天内下达开工通知的违约责任：</w:t>
      </w:r>
      <w:r>
        <w:rPr>
          <w:rFonts w:hint="eastAsia" w:ascii="宋体" w:hAnsi="宋体" w:eastAsia="宋体" w:cs="宋体"/>
          <w:kern w:val="0"/>
          <w:sz w:val="30"/>
          <w:szCs w:val="32"/>
          <w:u w:val="single"/>
        </w:rPr>
        <w:t xml:space="preserve">                                                  </w:t>
      </w:r>
      <w:r>
        <w:rPr>
          <w:rFonts w:hint="eastAsia" w:ascii="宋体" w:hAnsi="宋体" w:eastAsia="宋体" w:cs="宋体"/>
          <w:kern w:val="0"/>
          <w:sz w:val="30"/>
          <w:szCs w:val="32"/>
        </w:rPr>
        <w:t>。</w:t>
      </w:r>
    </w:p>
    <w:p>
      <w:pPr>
        <w:spacing w:line="360" w:lineRule="auto"/>
        <w:ind w:firstLine="480" w:firstLineChars="200"/>
        <w:jc w:val="left"/>
        <w:rPr>
          <w:rFonts w:hint="eastAsia" w:ascii="宋体" w:hAnsi="宋体" w:eastAsia="宋体" w:cs="宋体"/>
          <w:kern w:val="0"/>
          <w:sz w:val="30"/>
          <w:szCs w:val="32"/>
        </w:rPr>
      </w:pPr>
      <w:r>
        <w:rPr>
          <w:rFonts w:hint="eastAsia" w:ascii="宋体" w:hAnsi="宋体" w:eastAsia="宋体" w:cs="宋体"/>
          <w:sz w:val="24"/>
        </w:rPr>
        <w:t>（2）因发包人原因未能按合同约定支付合同价款的违约责任：</w:t>
      </w:r>
      <w:r>
        <w:rPr>
          <w:rFonts w:hint="eastAsia" w:ascii="宋体" w:hAnsi="宋体" w:eastAsia="宋体" w:cs="宋体"/>
          <w:kern w:val="0"/>
          <w:sz w:val="30"/>
          <w:szCs w:val="32"/>
          <w:u w:val="single"/>
        </w:rPr>
        <w:t xml:space="preserve">                 </w:t>
      </w:r>
    </w:p>
    <w:p>
      <w:pPr>
        <w:spacing w:line="360" w:lineRule="auto"/>
        <w:jc w:val="left"/>
        <w:rPr>
          <w:rFonts w:hint="eastAsia" w:ascii="宋体" w:hAnsi="宋体" w:eastAsia="宋体" w:cs="宋体"/>
          <w:kern w:val="0"/>
          <w:sz w:val="30"/>
          <w:szCs w:val="32"/>
        </w:rPr>
      </w:pPr>
      <w:r>
        <w:rPr>
          <w:rFonts w:hint="eastAsia" w:ascii="宋体" w:hAnsi="宋体" w:eastAsia="宋体" w:cs="宋体"/>
          <w:kern w:val="0"/>
          <w:sz w:val="30"/>
          <w:szCs w:val="32"/>
          <w:u w:val="single"/>
        </w:rPr>
        <w:t xml:space="preserve">                                                     </w:t>
      </w:r>
      <w:r>
        <w:rPr>
          <w:rFonts w:hint="eastAsia" w:ascii="宋体" w:hAnsi="宋体" w:eastAsia="宋体" w:cs="宋体"/>
          <w:kern w:val="0"/>
          <w:sz w:val="30"/>
          <w:szCs w:val="32"/>
        </w:rPr>
        <w:t>。</w:t>
      </w:r>
    </w:p>
    <w:p>
      <w:pPr>
        <w:spacing w:line="360" w:lineRule="auto"/>
        <w:ind w:firstLine="480" w:firstLineChars="200"/>
        <w:jc w:val="left"/>
        <w:rPr>
          <w:rFonts w:hint="eastAsia" w:ascii="宋体" w:hAnsi="宋体" w:eastAsia="宋体" w:cs="宋体"/>
          <w:kern w:val="0"/>
          <w:sz w:val="30"/>
          <w:szCs w:val="32"/>
        </w:rPr>
      </w:pPr>
      <w:r>
        <w:rPr>
          <w:rFonts w:hint="eastAsia" w:ascii="宋体" w:hAnsi="宋体" w:eastAsia="宋体" w:cs="宋体"/>
          <w:sz w:val="24"/>
        </w:rPr>
        <w:t>（3）发包人提供的材料、工程设备的规格、数量或质量不符合合同约定，或因发包人原因导致交货日期延误或交货地点变更等情况的违约责任：</w:t>
      </w:r>
      <w:r>
        <w:rPr>
          <w:rFonts w:hint="eastAsia" w:ascii="宋体" w:hAnsi="宋体" w:eastAsia="宋体" w:cs="宋体"/>
          <w:kern w:val="0"/>
          <w:sz w:val="30"/>
          <w:szCs w:val="32"/>
          <w:u w:val="single"/>
        </w:rPr>
        <w:t xml:space="preserve">               </w:t>
      </w:r>
    </w:p>
    <w:p>
      <w:pPr>
        <w:spacing w:line="360" w:lineRule="auto"/>
        <w:jc w:val="left"/>
        <w:rPr>
          <w:rFonts w:hint="eastAsia" w:ascii="宋体" w:hAnsi="宋体" w:eastAsia="宋体" w:cs="宋体"/>
          <w:kern w:val="0"/>
          <w:sz w:val="30"/>
          <w:szCs w:val="32"/>
        </w:rPr>
      </w:pPr>
      <w:r>
        <w:rPr>
          <w:rFonts w:hint="eastAsia" w:ascii="宋体" w:hAnsi="宋体" w:eastAsia="宋体" w:cs="宋体"/>
          <w:kern w:val="0"/>
          <w:sz w:val="30"/>
          <w:szCs w:val="32"/>
          <w:u w:val="single"/>
        </w:rPr>
        <w:t xml:space="preserve">                                                           </w:t>
      </w:r>
      <w:r>
        <w:rPr>
          <w:rFonts w:hint="eastAsia" w:ascii="宋体" w:hAnsi="宋体" w:eastAsia="宋体" w:cs="宋体"/>
          <w:kern w:val="0"/>
          <w:sz w:val="30"/>
          <w:szCs w:val="32"/>
        </w:rPr>
        <w:t>。</w:t>
      </w:r>
    </w:p>
    <w:p>
      <w:pPr>
        <w:spacing w:line="360" w:lineRule="auto"/>
        <w:ind w:firstLine="480" w:firstLineChars="200"/>
        <w:jc w:val="left"/>
        <w:rPr>
          <w:rFonts w:hint="eastAsia" w:ascii="宋体" w:hAnsi="宋体" w:eastAsia="宋体" w:cs="宋体"/>
          <w:kern w:val="0"/>
          <w:sz w:val="30"/>
          <w:szCs w:val="32"/>
          <w:u w:val="single"/>
        </w:rPr>
      </w:pPr>
      <w:r>
        <w:rPr>
          <w:rFonts w:hint="eastAsia" w:ascii="宋体" w:hAnsi="宋体" w:eastAsia="宋体" w:cs="宋体"/>
          <w:sz w:val="24"/>
        </w:rPr>
        <w:t>（4）因发包人违反合同约定造成暂停施工的违约责任：</w:t>
      </w:r>
      <w:r>
        <w:rPr>
          <w:rFonts w:hint="eastAsia" w:ascii="宋体" w:hAnsi="宋体" w:eastAsia="宋体" w:cs="宋体"/>
          <w:kern w:val="0"/>
          <w:sz w:val="30"/>
          <w:szCs w:val="32"/>
          <w:u w:val="single"/>
        </w:rPr>
        <w:t xml:space="preserve">                  </w:t>
      </w:r>
    </w:p>
    <w:p>
      <w:pPr>
        <w:spacing w:line="360" w:lineRule="auto"/>
        <w:jc w:val="left"/>
        <w:rPr>
          <w:rFonts w:hint="eastAsia" w:ascii="宋体" w:hAnsi="宋体" w:eastAsia="宋体" w:cs="宋体"/>
          <w:kern w:val="0"/>
          <w:sz w:val="30"/>
          <w:szCs w:val="32"/>
        </w:rPr>
      </w:pPr>
      <w:r>
        <w:rPr>
          <w:rFonts w:hint="eastAsia" w:ascii="宋体" w:hAnsi="宋体" w:eastAsia="宋体" w:cs="宋体"/>
          <w:kern w:val="0"/>
          <w:sz w:val="30"/>
          <w:szCs w:val="32"/>
          <w:u w:val="single"/>
        </w:rPr>
        <w:t xml:space="preserve">                                                           </w:t>
      </w:r>
      <w:r>
        <w:rPr>
          <w:rFonts w:hint="eastAsia" w:ascii="宋体" w:hAnsi="宋体" w:eastAsia="宋体" w:cs="宋体"/>
          <w:kern w:val="0"/>
          <w:sz w:val="30"/>
          <w:szCs w:val="32"/>
        </w:rPr>
        <w:t>。</w:t>
      </w:r>
    </w:p>
    <w:p>
      <w:pPr>
        <w:spacing w:line="360" w:lineRule="auto"/>
        <w:ind w:firstLine="480" w:firstLineChars="200"/>
        <w:jc w:val="left"/>
        <w:rPr>
          <w:rFonts w:hint="eastAsia" w:ascii="宋体" w:hAnsi="宋体" w:eastAsia="宋体" w:cs="宋体"/>
          <w:kern w:val="0"/>
          <w:sz w:val="30"/>
          <w:szCs w:val="32"/>
        </w:rPr>
      </w:pPr>
      <w:r>
        <w:rPr>
          <w:rFonts w:hint="eastAsia" w:ascii="宋体" w:hAnsi="宋体" w:eastAsia="宋体" w:cs="宋体"/>
          <w:sz w:val="24"/>
        </w:rPr>
        <w:t>（5）发包人无正当理由没有在约定期限内发出复工指示，导致承包人无法复工的违约责任：</w:t>
      </w:r>
      <w:r>
        <w:rPr>
          <w:rFonts w:hint="eastAsia" w:ascii="宋体" w:hAnsi="宋体" w:eastAsia="宋体" w:cs="宋体"/>
          <w:kern w:val="0"/>
          <w:sz w:val="30"/>
          <w:szCs w:val="32"/>
          <w:u w:val="single"/>
        </w:rPr>
        <w:t xml:space="preserve">                               </w:t>
      </w:r>
      <w:r>
        <w:rPr>
          <w:rFonts w:hint="eastAsia" w:ascii="宋体" w:hAnsi="宋体" w:eastAsia="宋体" w:cs="宋体"/>
          <w:kern w:val="0"/>
          <w:sz w:val="30"/>
          <w:szCs w:val="32"/>
        </w:rPr>
        <w:t>。</w:t>
      </w:r>
    </w:p>
    <w:p>
      <w:pPr>
        <w:spacing w:line="360" w:lineRule="auto"/>
        <w:ind w:firstLine="480" w:firstLineChars="200"/>
        <w:jc w:val="left"/>
        <w:rPr>
          <w:rFonts w:hint="eastAsia" w:ascii="宋体" w:hAnsi="宋体" w:eastAsia="宋体" w:cs="宋体"/>
          <w:kern w:val="0"/>
          <w:sz w:val="30"/>
          <w:szCs w:val="32"/>
          <w:u w:val="single"/>
        </w:rPr>
      </w:pPr>
      <w:r>
        <w:rPr>
          <w:rFonts w:hint="eastAsia" w:ascii="宋体" w:hAnsi="宋体" w:eastAsia="宋体" w:cs="宋体"/>
          <w:sz w:val="24"/>
        </w:rPr>
        <w:t>（6）发包人明确表示或其行为表明不履行合同主要义务的违约责任：</w:t>
      </w:r>
      <w:r>
        <w:rPr>
          <w:rFonts w:hint="eastAsia" w:ascii="宋体" w:hAnsi="宋体" w:eastAsia="宋体" w:cs="宋体"/>
          <w:kern w:val="0"/>
          <w:sz w:val="30"/>
          <w:szCs w:val="32"/>
          <w:u w:val="single"/>
        </w:rPr>
        <w:t xml:space="preserve">         </w:t>
      </w:r>
    </w:p>
    <w:p>
      <w:pPr>
        <w:spacing w:line="360" w:lineRule="auto"/>
        <w:jc w:val="left"/>
        <w:rPr>
          <w:rFonts w:hint="eastAsia" w:ascii="宋体" w:hAnsi="宋体" w:eastAsia="宋体" w:cs="宋体"/>
          <w:kern w:val="0"/>
          <w:sz w:val="30"/>
          <w:szCs w:val="32"/>
        </w:rPr>
      </w:pPr>
      <w:r>
        <w:rPr>
          <w:rFonts w:hint="eastAsia" w:ascii="宋体" w:hAnsi="宋体" w:eastAsia="宋体" w:cs="宋体"/>
          <w:kern w:val="0"/>
          <w:sz w:val="30"/>
          <w:szCs w:val="32"/>
          <w:u w:val="single"/>
        </w:rPr>
        <w:t xml:space="preserve">                                                             </w:t>
      </w:r>
    </w:p>
    <w:p>
      <w:pPr>
        <w:spacing w:line="360" w:lineRule="auto"/>
        <w:ind w:firstLine="480" w:firstLineChars="200"/>
        <w:jc w:val="left"/>
        <w:rPr>
          <w:rFonts w:hint="eastAsia" w:ascii="宋体" w:hAnsi="宋体" w:eastAsia="宋体" w:cs="宋体"/>
          <w:kern w:val="0"/>
          <w:sz w:val="30"/>
          <w:szCs w:val="32"/>
        </w:rPr>
      </w:pPr>
      <w:r>
        <w:rPr>
          <w:rFonts w:hint="eastAsia" w:ascii="宋体" w:hAnsi="宋体" w:eastAsia="宋体" w:cs="宋体"/>
          <w:sz w:val="24"/>
        </w:rPr>
        <w:t>（7）其他：</w:t>
      </w:r>
      <w:r>
        <w:rPr>
          <w:rFonts w:hint="eastAsia" w:ascii="宋体" w:hAnsi="宋体" w:eastAsia="宋体" w:cs="宋体"/>
          <w:kern w:val="0"/>
          <w:sz w:val="30"/>
          <w:szCs w:val="32"/>
          <w:u w:val="single"/>
        </w:rPr>
        <w:t xml:space="preserve">                                         </w:t>
      </w:r>
      <w:r>
        <w:rPr>
          <w:rFonts w:hint="eastAsia" w:ascii="宋体" w:hAnsi="宋体" w:eastAsia="宋体" w:cs="宋体"/>
          <w:kern w:val="0"/>
          <w:sz w:val="30"/>
          <w:szCs w:val="32"/>
        </w:rPr>
        <w:t>。</w:t>
      </w:r>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724" w:name="_Toc5675"/>
      <w:bookmarkStart w:id="1725" w:name="_Toc302636048"/>
      <w:bookmarkStart w:id="1726" w:name="_Toc67418836"/>
      <w:r>
        <w:rPr>
          <w:rFonts w:hint="eastAsia" w:ascii="宋体" w:hAnsi="宋体" w:eastAsia="宋体" w:cs="宋体"/>
          <w:sz w:val="24"/>
        </w:rPr>
        <w:t>28.2 承包人违约</w:t>
      </w:r>
      <w:bookmarkEnd w:id="1723"/>
      <w:bookmarkEnd w:id="1724"/>
      <w:bookmarkEnd w:id="1725"/>
      <w:bookmarkEnd w:id="1726"/>
    </w:p>
    <w:p>
      <w:pPr>
        <w:spacing w:line="360" w:lineRule="auto"/>
        <w:ind w:firstLine="480" w:firstLineChars="200"/>
        <w:jc w:val="left"/>
        <w:rPr>
          <w:rFonts w:hint="eastAsia" w:ascii="宋体" w:hAnsi="宋体" w:eastAsia="宋体" w:cs="宋体"/>
          <w:kern w:val="0"/>
          <w:sz w:val="30"/>
          <w:szCs w:val="32"/>
          <w:u w:val="single"/>
        </w:rPr>
      </w:pPr>
      <w:r>
        <w:rPr>
          <w:rFonts w:hint="eastAsia" w:ascii="宋体" w:hAnsi="宋体" w:eastAsia="宋体" w:cs="宋体"/>
          <w:sz w:val="24"/>
        </w:rPr>
        <w:t>（1）承包人违反合同约定进行转包或违法分包的违约责任：</w:t>
      </w:r>
      <w:r>
        <w:rPr>
          <w:rFonts w:hint="eastAsia" w:ascii="宋体" w:hAnsi="宋体" w:eastAsia="宋体" w:cs="宋体"/>
          <w:kern w:val="0"/>
          <w:sz w:val="30"/>
          <w:szCs w:val="32"/>
          <w:u w:val="single"/>
        </w:rPr>
        <w:t xml:space="preserve">               </w:t>
      </w:r>
    </w:p>
    <w:p>
      <w:pPr>
        <w:spacing w:line="360" w:lineRule="auto"/>
        <w:jc w:val="left"/>
        <w:rPr>
          <w:rFonts w:hint="eastAsia" w:ascii="宋体" w:hAnsi="宋体" w:eastAsia="宋体" w:cs="宋体"/>
          <w:kern w:val="0"/>
          <w:sz w:val="30"/>
          <w:szCs w:val="32"/>
        </w:rPr>
      </w:pPr>
      <w:r>
        <w:rPr>
          <w:rFonts w:hint="eastAsia" w:ascii="宋体" w:hAnsi="宋体" w:eastAsia="宋体" w:cs="宋体"/>
          <w:kern w:val="0"/>
          <w:sz w:val="30"/>
          <w:szCs w:val="32"/>
          <w:u w:val="single"/>
        </w:rPr>
        <w:t xml:space="preserve">                                                     </w:t>
      </w:r>
      <w:r>
        <w:rPr>
          <w:rFonts w:hint="eastAsia" w:ascii="宋体" w:hAnsi="宋体" w:eastAsia="宋体" w:cs="宋体"/>
          <w:kern w:val="0"/>
          <w:sz w:val="30"/>
          <w:szCs w:val="32"/>
        </w:rPr>
        <w:t>。</w:t>
      </w:r>
    </w:p>
    <w:p>
      <w:pPr>
        <w:spacing w:line="360" w:lineRule="auto"/>
        <w:ind w:firstLine="480" w:firstLineChars="200"/>
        <w:jc w:val="left"/>
        <w:rPr>
          <w:rFonts w:hint="eastAsia" w:ascii="宋体" w:hAnsi="宋体" w:eastAsia="宋体" w:cs="宋体"/>
          <w:kern w:val="0"/>
          <w:sz w:val="30"/>
          <w:szCs w:val="32"/>
          <w:u w:val="single"/>
        </w:rPr>
      </w:pPr>
      <w:r>
        <w:rPr>
          <w:rFonts w:hint="eastAsia" w:ascii="宋体" w:hAnsi="宋体" w:eastAsia="宋体" w:cs="宋体"/>
          <w:sz w:val="24"/>
        </w:rPr>
        <w:t>（2）承包人违反合同约定采购和使用不合格的材料和工程设备的违约责任：</w:t>
      </w:r>
      <w:r>
        <w:rPr>
          <w:rFonts w:hint="eastAsia" w:ascii="宋体" w:hAnsi="宋体" w:eastAsia="宋体" w:cs="宋体"/>
          <w:kern w:val="0"/>
          <w:sz w:val="30"/>
          <w:szCs w:val="32"/>
          <w:u w:val="single"/>
        </w:rPr>
        <w:t xml:space="preserve">               </w:t>
      </w:r>
    </w:p>
    <w:p>
      <w:pPr>
        <w:spacing w:line="360" w:lineRule="auto"/>
        <w:jc w:val="left"/>
        <w:rPr>
          <w:rFonts w:hint="eastAsia" w:ascii="宋体" w:hAnsi="宋体" w:eastAsia="宋体" w:cs="宋体"/>
          <w:kern w:val="0"/>
          <w:sz w:val="30"/>
          <w:szCs w:val="32"/>
        </w:rPr>
      </w:pPr>
      <w:r>
        <w:rPr>
          <w:rFonts w:hint="eastAsia" w:ascii="宋体" w:hAnsi="宋体" w:eastAsia="宋体" w:cs="宋体"/>
          <w:kern w:val="0"/>
          <w:sz w:val="30"/>
          <w:szCs w:val="32"/>
          <w:u w:val="single"/>
        </w:rPr>
        <w:t xml:space="preserve">                                                     </w:t>
      </w:r>
      <w:r>
        <w:rPr>
          <w:rFonts w:hint="eastAsia" w:ascii="宋体" w:hAnsi="宋体" w:eastAsia="宋体" w:cs="宋体"/>
          <w:kern w:val="0"/>
          <w:sz w:val="30"/>
          <w:szCs w:val="32"/>
        </w:rPr>
        <w:t>。</w:t>
      </w:r>
    </w:p>
    <w:p>
      <w:pPr>
        <w:spacing w:line="360" w:lineRule="auto"/>
        <w:ind w:firstLine="480" w:firstLineChars="200"/>
        <w:jc w:val="left"/>
        <w:rPr>
          <w:rFonts w:hint="eastAsia" w:ascii="宋体" w:hAnsi="宋体" w:eastAsia="宋体" w:cs="宋体"/>
          <w:kern w:val="0"/>
          <w:sz w:val="30"/>
          <w:szCs w:val="32"/>
          <w:u w:val="single"/>
        </w:rPr>
      </w:pPr>
      <w:r>
        <w:rPr>
          <w:rFonts w:hint="eastAsia" w:ascii="宋体" w:hAnsi="宋体" w:eastAsia="宋体" w:cs="宋体"/>
          <w:sz w:val="24"/>
        </w:rPr>
        <w:t>（3）因承包人原因导致工程质量不符合合同要求的违约责任：</w:t>
      </w:r>
      <w:r>
        <w:rPr>
          <w:rFonts w:hint="eastAsia" w:ascii="宋体" w:hAnsi="宋体" w:eastAsia="宋体" w:cs="宋体"/>
          <w:kern w:val="0"/>
          <w:sz w:val="30"/>
          <w:szCs w:val="32"/>
          <w:u w:val="single"/>
        </w:rPr>
        <w:t xml:space="preserve">               </w:t>
      </w:r>
    </w:p>
    <w:p>
      <w:pPr>
        <w:spacing w:line="360" w:lineRule="auto"/>
        <w:jc w:val="left"/>
        <w:rPr>
          <w:rFonts w:hint="eastAsia" w:ascii="宋体" w:hAnsi="宋体" w:eastAsia="宋体" w:cs="宋体"/>
          <w:kern w:val="0"/>
          <w:sz w:val="30"/>
          <w:szCs w:val="32"/>
        </w:rPr>
      </w:pPr>
      <w:r>
        <w:rPr>
          <w:rFonts w:hint="eastAsia" w:ascii="宋体" w:hAnsi="宋体" w:eastAsia="宋体" w:cs="宋体"/>
          <w:kern w:val="0"/>
          <w:sz w:val="30"/>
          <w:szCs w:val="32"/>
          <w:u w:val="single"/>
        </w:rPr>
        <w:t xml:space="preserve">                                                     </w:t>
      </w:r>
      <w:r>
        <w:rPr>
          <w:rFonts w:hint="eastAsia" w:ascii="宋体" w:hAnsi="宋体" w:eastAsia="宋体" w:cs="宋体"/>
          <w:kern w:val="0"/>
          <w:sz w:val="30"/>
          <w:szCs w:val="32"/>
        </w:rPr>
        <w:t>。</w:t>
      </w:r>
    </w:p>
    <w:p>
      <w:pPr>
        <w:spacing w:line="360" w:lineRule="auto"/>
        <w:ind w:firstLine="480" w:firstLineChars="200"/>
        <w:jc w:val="left"/>
        <w:rPr>
          <w:rFonts w:hint="eastAsia" w:ascii="宋体" w:hAnsi="宋体" w:eastAsia="宋体" w:cs="宋体"/>
          <w:kern w:val="0"/>
          <w:sz w:val="30"/>
          <w:szCs w:val="32"/>
          <w:u w:val="single"/>
        </w:rPr>
      </w:pPr>
      <w:r>
        <w:rPr>
          <w:rFonts w:hint="eastAsia" w:ascii="宋体" w:hAnsi="宋体" w:eastAsia="宋体" w:cs="宋体"/>
          <w:sz w:val="24"/>
        </w:rPr>
        <w:t>（4）承包人未经批准，私自将已按照合同约定进入施工现场的材料或设备撤离施工现场的违约责任：</w:t>
      </w:r>
      <w:r>
        <w:rPr>
          <w:rFonts w:hint="eastAsia" w:ascii="宋体" w:hAnsi="宋体" w:eastAsia="宋体" w:cs="宋体"/>
          <w:kern w:val="0"/>
          <w:sz w:val="30"/>
          <w:szCs w:val="32"/>
          <w:u w:val="single"/>
        </w:rPr>
        <w:t xml:space="preserve">                                              </w:t>
      </w:r>
    </w:p>
    <w:p>
      <w:pPr>
        <w:spacing w:line="360" w:lineRule="auto"/>
        <w:jc w:val="left"/>
        <w:rPr>
          <w:rFonts w:hint="eastAsia" w:ascii="宋体" w:hAnsi="宋体" w:eastAsia="宋体" w:cs="宋体"/>
          <w:kern w:val="0"/>
          <w:sz w:val="30"/>
          <w:szCs w:val="32"/>
        </w:rPr>
      </w:pPr>
      <w:r>
        <w:rPr>
          <w:rFonts w:hint="eastAsia" w:ascii="宋体" w:hAnsi="宋体" w:eastAsia="宋体" w:cs="宋体"/>
          <w:kern w:val="0"/>
          <w:sz w:val="30"/>
          <w:szCs w:val="32"/>
          <w:u w:val="single"/>
        </w:rPr>
        <w:t xml:space="preserve">                                                     </w:t>
      </w:r>
      <w:r>
        <w:rPr>
          <w:rFonts w:hint="eastAsia" w:ascii="宋体" w:hAnsi="宋体" w:eastAsia="宋体" w:cs="宋体"/>
          <w:kern w:val="0"/>
          <w:sz w:val="30"/>
          <w:szCs w:val="32"/>
        </w:rPr>
        <w:t>。</w:t>
      </w:r>
    </w:p>
    <w:p>
      <w:pPr>
        <w:spacing w:line="360" w:lineRule="auto"/>
        <w:ind w:firstLine="480" w:firstLineChars="200"/>
        <w:jc w:val="left"/>
        <w:rPr>
          <w:rFonts w:hint="eastAsia" w:ascii="宋体" w:hAnsi="宋体" w:eastAsia="宋体" w:cs="宋体"/>
          <w:kern w:val="0"/>
          <w:sz w:val="30"/>
          <w:szCs w:val="32"/>
          <w:u w:val="single"/>
        </w:rPr>
      </w:pPr>
      <w:r>
        <w:rPr>
          <w:rFonts w:hint="eastAsia" w:ascii="宋体" w:hAnsi="宋体" w:eastAsia="宋体" w:cs="宋体"/>
          <w:sz w:val="24"/>
        </w:rPr>
        <w:t>（5）承包人未能按施工进度计划及时完成合同约定的工作，造成工期延误的违约责任：</w:t>
      </w:r>
      <w:r>
        <w:rPr>
          <w:rFonts w:hint="eastAsia" w:ascii="宋体" w:hAnsi="宋体" w:eastAsia="宋体" w:cs="宋体"/>
          <w:kern w:val="0"/>
          <w:sz w:val="30"/>
          <w:szCs w:val="32"/>
          <w:u w:val="single"/>
        </w:rPr>
        <w:t xml:space="preserve">                                                        </w:t>
      </w:r>
    </w:p>
    <w:p>
      <w:pPr>
        <w:spacing w:line="360" w:lineRule="auto"/>
        <w:jc w:val="left"/>
        <w:rPr>
          <w:rFonts w:hint="eastAsia" w:ascii="宋体" w:hAnsi="宋体" w:eastAsia="宋体" w:cs="宋体"/>
          <w:kern w:val="0"/>
          <w:sz w:val="30"/>
          <w:szCs w:val="32"/>
        </w:rPr>
      </w:pPr>
      <w:r>
        <w:rPr>
          <w:rFonts w:hint="eastAsia" w:ascii="宋体" w:hAnsi="宋体" w:eastAsia="宋体" w:cs="宋体"/>
          <w:kern w:val="0"/>
          <w:sz w:val="30"/>
          <w:szCs w:val="32"/>
          <w:u w:val="single"/>
        </w:rPr>
        <w:t xml:space="preserve">                                                     </w:t>
      </w:r>
      <w:r>
        <w:rPr>
          <w:rFonts w:hint="eastAsia" w:ascii="宋体" w:hAnsi="宋体" w:eastAsia="宋体" w:cs="宋体"/>
          <w:kern w:val="0"/>
          <w:sz w:val="30"/>
          <w:szCs w:val="32"/>
        </w:rPr>
        <w:t>。</w:t>
      </w:r>
    </w:p>
    <w:p>
      <w:pPr>
        <w:spacing w:line="360" w:lineRule="auto"/>
        <w:ind w:firstLine="480" w:firstLineChars="200"/>
        <w:jc w:val="left"/>
        <w:rPr>
          <w:rFonts w:hint="eastAsia" w:ascii="宋体" w:hAnsi="宋体" w:eastAsia="宋体" w:cs="宋体"/>
          <w:kern w:val="0"/>
          <w:sz w:val="30"/>
          <w:szCs w:val="32"/>
          <w:u w:val="single"/>
        </w:rPr>
      </w:pPr>
      <w:r>
        <w:rPr>
          <w:rFonts w:hint="eastAsia" w:ascii="宋体" w:hAnsi="宋体" w:eastAsia="宋体" w:cs="宋体"/>
          <w:sz w:val="24"/>
        </w:rPr>
        <w:t>（6）承包人在缺陷责任期及保修期内，未能在合理期限对工程缺陷进行修复，或拒绝按发包人要求进行修复的违约责任：</w:t>
      </w:r>
      <w:r>
        <w:rPr>
          <w:rFonts w:hint="eastAsia" w:ascii="宋体" w:hAnsi="宋体" w:eastAsia="宋体" w:cs="宋体"/>
          <w:kern w:val="0"/>
          <w:sz w:val="30"/>
          <w:szCs w:val="32"/>
          <w:u w:val="single"/>
        </w:rPr>
        <w:t xml:space="preserve">                                </w:t>
      </w:r>
    </w:p>
    <w:p>
      <w:pPr>
        <w:spacing w:line="360" w:lineRule="auto"/>
        <w:jc w:val="left"/>
        <w:rPr>
          <w:rFonts w:hint="eastAsia" w:ascii="宋体" w:hAnsi="宋体" w:eastAsia="宋体" w:cs="宋体"/>
          <w:kern w:val="0"/>
          <w:sz w:val="30"/>
          <w:szCs w:val="32"/>
        </w:rPr>
      </w:pPr>
      <w:r>
        <w:rPr>
          <w:rFonts w:hint="eastAsia" w:ascii="宋体" w:hAnsi="宋体" w:eastAsia="宋体" w:cs="宋体"/>
          <w:kern w:val="0"/>
          <w:sz w:val="30"/>
          <w:szCs w:val="32"/>
          <w:u w:val="single"/>
        </w:rPr>
        <w:t xml:space="preserve">                                                     </w:t>
      </w:r>
      <w:r>
        <w:rPr>
          <w:rFonts w:hint="eastAsia" w:ascii="宋体" w:hAnsi="宋体" w:eastAsia="宋体" w:cs="宋体"/>
          <w:kern w:val="0"/>
          <w:sz w:val="30"/>
          <w:szCs w:val="32"/>
        </w:rPr>
        <w:t>。</w:t>
      </w:r>
    </w:p>
    <w:p>
      <w:pPr>
        <w:spacing w:line="360" w:lineRule="auto"/>
        <w:ind w:firstLine="480" w:firstLineChars="200"/>
        <w:jc w:val="left"/>
        <w:rPr>
          <w:rFonts w:hint="eastAsia" w:ascii="宋体" w:hAnsi="宋体" w:eastAsia="宋体" w:cs="宋体"/>
          <w:kern w:val="0"/>
          <w:sz w:val="30"/>
          <w:szCs w:val="32"/>
          <w:u w:val="single"/>
        </w:rPr>
      </w:pPr>
      <w:r>
        <w:rPr>
          <w:rFonts w:hint="eastAsia" w:ascii="宋体" w:hAnsi="宋体" w:eastAsia="宋体" w:cs="宋体"/>
          <w:sz w:val="24"/>
        </w:rPr>
        <w:t>（7）承包人明确表示或其行为表明不履行合同主要义务的违约责任：</w:t>
      </w:r>
      <w:r>
        <w:rPr>
          <w:rFonts w:hint="eastAsia" w:ascii="宋体" w:hAnsi="宋体" w:eastAsia="宋体" w:cs="宋体"/>
          <w:kern w:val="0"/>
          <w:sz w:val="30"/>
          <w:szCs w:val="32"/>
          <w:u w:val="single"/>
        </w:rPr>
        <w:t xml:space="preserve">                 </w:t>
      </w:r>
    </w:p>
    <w:p>
      <w:pPr>
        <w:spacing w:line="360" w:lineRule="auto"/>
        <w:jc w:val="left"/>
        <w:rPr>
          <w:rFonts w:hint="eastAsia" w:ascii="宋体" w:hAnsi="宋体" w:eastAsia="宋体" w:cs="宋体"/>
          <w:kern w:val="0"/>
          <w:sz w:val="30"/>
          <w:szCs w:val="32"/>
        </w:rPr>
      </w:pPr>
      <w:r>
        <w:rPr>
          <w:rFonts w:hint="eastAsia" w:ascii="宋体" w:hAnsi="宋体" w:eastAsia="宋体" w:cs="宋体"/>
          <w:kern w:val="0"/>
          <w:sz w:val="30"/>
          <w:szCs w:val="32"/>
          <w:u w:val="single"/>
        </w:rPr>
        <w:t xml:space="preserve">                                                     </w:t>
      </w:r>
      <w:r>
        <w:rPr>
          <w:rFonts w:hint="eastAsia" w:ascii="宋体" w:hAnsi="宋体" w:eastAsia="宋体" w:cs="宋体"/>
          <w:kern w:val="0"/>
          <w:sz w:val="30"/>
          <w:szCs w:val="32"/>
        </w:rPr>
        <w:t>。</w:t>
      </w:r>
    </w:p>
    <w:p>
      <w:pPr>
        <w:spacing w:line="360" w:lineRule="auto"/>
        <w:ind w:firstLine="480" w:firstLineChars="200"/>
        <w:jc w:val="left"/>
        <w:rPr>
          <w:rFonts w:hint="eastAsia" w:ascii="宋体" w:hAnsi="宋体" w:eastAsia="宋体" w:cs="宋体"/>
          <w:kern w:val="0"/>
          <w:sz w:val="30"/>
          <w:szCs w:val="32"/>
        </w:rPr>
      </w:pPr>
      <w:r>
        <w:rPr>
          <w:rFonts w:hint="eastAsia" w:ascii="宋体" w:hAnsi="宋体" w:eastAsia="宋体" w:cs="宋体"/>
          <w:sz w:val="24"/>
        </w:rPr>
        <w:t>（8）其他：</w:t>
      </w:r>
      <w:r>
        <w:rPr>
          <w:rFonts w:hint="eastAsia" w:ascii="宋体" w:hAnsi="宋体" w:eastAsia="宋体" w:cs="宋体"/>
          <w:kern w:val="0"/>
          <w:sz w:val="30"/>
          <w:szCs w:val="32"/>
          <w:u w:val="single"/>
        </w:rPr>
        <w:t xml:space="preserve">                                         </w:t>
      </w:r>
      <w:r>
        <w:rPr>
          <w:rFonts w:hint="eastAsia" w:ascii="宋体" w:hAnsi="宋体" w:eastAsia="宋体" w:cs="宋体"/>
          <w:kern w:val="0"/>
          <w:sz w:val="30"/>
          <w:szCs w:val="32"/>
        </w:rPr>
        <w:t>。</w:t>
      </w:r>
    </w:p>
    <w:p>
      <w:pPr>
        <w:pStyle w:val="2"/>
        <w:keepNext w:val="0"/>
        <w:keepLines w:val="0"/>
        <w:numPr>
          <w:ilvl w:val="0"/>
          <w:numId w:val="0"/>
        </w:numPr>
        <w:tabs>
          <w:tab w:val="left" w:pos="540"/>
          <w:tab w:val="left" w:pos="720"/>
          <w:tab w:val="left" w:pos="1620"/>
          <w:tab w:val="left" w:pos="2340"/>
        </w:tabs>
        <w:spacing w:before="120" w:after="120"/>
        <w:ind w:left="178"/>
        <w:rPr>
          <w:rFonts w:hint="eastAsia" w:ascii="宋体" w:hAnsi="宋体" w:eastAsia="宋体" w:cs="宋体"/>
        </w:rPr>
      </w:pPr>
      <w:bookmarkStart w:id="1727" w:name="_Toc67418837"/>
      <w:bookmarkStart w:id="1728" w:name="_Toc6779"/>
      <w:bookmarkStart w:id="1729" w:name="_Toc35656550"/>
      <w:bookmarkStart w:id="1730" w:name="_Toc305331523"/>
      <w:bookmarkStart w:id="1731" w:name="_Toc302636049"/>
      <w:r>
        <w:rPr>
          <w:rFonts w:hint="eastAsia" w:ascii="宋体" w:hAnsi="宋体" w:eastAsia="宋体" w:cs="宋体"/>
        </w:rPr>
        <w:t>29 索赔</w:t>
      </w:r>
      <w:bookmarkEnd w:id="1727"/>
      <w:bookmarkEnd w:id="1728"/>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732" w:name="_Toc21667"/>
      <w:bookmarkStart w:id="1733" w:name="_Toc67418838"/>
      <w:r>
        <w:rPr>
          <w:rFonts w:hint="eastAsia" w:ascii="宋体" w:hAnsi="宋体" w:eastAsia="宋体" w:cs="宋体"/>
          <w:sz w:val="24"/>
        </w:rPr>
        <w:t>29.3 发包人索赔情形</w:t>
      </w:r>
      <w:bookmarkEnd w:id="1732"/>
      <w:bookmarkEnd w:id="1733"/>
    </w:p>
    <w:p>
      <w:pPr>
        <w:spacing w:line="360" w:lineRule="auto"/>
        <w:ind w:firstLine="480"/>
        <w:rPr>
          <w:rFonts w:hint="eastAsia" w:ascii="宋体" w:hAnsi="宋体" w:eastAsia="宋体" w:cs="宋体"/>
          <w:sz w:val="24"/>
          <w:u w:val="single"/>
        </w:rPr>
      </w:pPr>
      <w:r>
        <w:rPr>
          <w:rFonts w:hint="eastAsia" w:ascii="宋体" w:hAnsi="宋体" w:eastAsia="宋体" w:cs="宋体"/>
          <w:sz w:val="24"/>
        </w:rPr>
        <w:t>(4)发包人可向承包人提出索赔的其他情形：</w:t>
      </w:r>
      <w:r>
        <w:rPr>
          <w:rFonts w:hint="eastAsia" w:ascii="宋体" w:hAnsi="宋体" w:eastAsia="宋体" w:cs="宋体"/>
          <w:sz w:val="24"/>
          <w:u w:val="single"/>
        </w:rPr>
        <w:t xml:space="preserve">                                 </w:t>
      </w:r>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734" w:name="_Toc67418839"/>
      <w:bookmarkStart w:id="1735" w:name="_Toc19218"/>
      <w:r>
        <w:rPr>
          <w:rFonts w:hint="eastAsia" w:ascii="宋体" w:hAnsi="宋体" w:eastAsia="宋体" w:cs="宋体"/>
          <w:sz w:val="24"/>
        </w:rPr>
        <w:t>29.5 承包人索赔情形</w:t>
      </w:r>
      <w:bookmarkEnd w:id="1734"/>
      <w:bookmarkEnd w:id="1735"/>
    </w:p>
    <w:p>
      <w:pPr>
        <w:spacing w:line="360" w:lineRule="auto"/>
        <w:ind w:firstLine="480"/>
        <w:rPr>
          <w:rFonts w:hint="eastAsia" w:ascii="宋体" w:hAnsi="宋体" w:eastAsia="宋体" w:cs="宋体"/>
          <w:sz w:val="24"/>
        </w:rPr>
      </w:pPr>
      <w:r>
        <w:rPr>
          <w:rFonts w:hint="eastAsia" w:ascii="宋体" w:hAnsi="宋体" w:eastAsia="宋体" w:cs="宋体"/>
          <w:sz w:val="24"/>
        </w:rPr>
        <w:t>(7)承包人可向发包人提出索赔的其他情形：</w:t>
      </w:r>
      <w:r>
        <w:rPr>
          <w:rFonts w:hint="eastAsia" w:ascii="宋体" w:hAnsi="宋体" w:eastAsia="宋体" w:cs="宋体"/>
          <w:sz w:val="24"/>
          <w:u w:val="single"/>
        </w:rPr>
        <w:t xml:space="preserve">                                 </w:t>
      </w:r>
    </w:p>
    <w:p>
      <w:pPr>
        <w:pStyle w:val="2"/>
        <w:keepNext w:val="0"/>
        <w:keepLines w:val="0"/>
        <w:numPr>
          <w:ilvl w:val="0"/>
          <w:numId w:val="0"/>
        </w:numPr>
        <w:tabs>
          <w:tab w:val="left" w:pos="540"/>
          <w:tab w:val="left" w:pos="720"/>
          <w:tab w:val="left" w:pos="1620"/>
          <w:tab w:val="left" w:pos="2340"/>
        </w:tabs>
        <w:spacing w:before="120" w:after="120"/>
        <w:ind w:left="178"/>
        <w:rPr>
          <w:rFonts w:hint="eastAsia" w:ascii="宋体" w:hAnsi="宋体" w:eastAsia="宋体" w:cs="宋体"/>
        </w:rPr>
      </w:pPr>
      <w:bookmarkStart w:id="1736" w:name="_Toc19075"/>
      <w:bookmarkStart w:id="1737" w:name="_Toc67418840"/>
      <w:r>
        <w:rPr>
          <w:rFonts w:hint="eastAsia" w:ascii="宋体" w:hAnsi="宋体" w:eastAsia="宋体" w:cs="宋体"/>
        </w:rPr>
        <w:t>30 争议</w:t>
      </w:r>
      <w:bookmarkEnd w:id="1729"/>
      <w:bookmarkEnd w:id="1730"/>
      <w:r>
        <w:rPr>
          <w:rFonts w:hint="eastAsia" w:ascii="宋体" w:hAnsi="宋体" w:eastAsia="宋体" w:cs="宋体"/>
        </w:rPr>
        <w:t>解决</w:t>
      </w:r>
      <w:bookmarkEnd w:id="1731"/>
      <w:bookmarkEnd w:id="1736"/>
      <w:bookmarkEnd w:id="1737"/>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738" w:name="_Toc28579"/>
      <w:bookmarkStart w:id="1739" w:name="_Toc305331524"/>
      <w:bookmarkStart w:id="1740" w:name="_Toc302636050"/>
      <w:bookmarkStart w:id="1741" w:name="_Toc67418841"/>
      <w:r>
        <w:rPr>
          <w:rFonts w:hint="eastAsia" w:ascii="宋体" w:hAnsi="宋体" w:eastAsia="宋体" w:cs="宋体"/>
          <w:sz w:val="24"/>
        </w:rPr>
        <w:t>30.1 争议的解决方式</w:t>
      </w:r>
      <w:bookmarkEnd w:id="1738"/>
      <w:bookmarkEnd w:id="1739"/>
      <w:bookmarkEnd w:id="1740"/>
      <w:bookmarkEnd w:id="1741"/>
    </w:p>
    <w:p>
      <w:pPr>
        <w:spacing w:line="360" w:lineRule="auto"/>
        <w:ind w:firstLine="480"/>
        <w:rPr>
          <w:rFonts w:hint="eastAsia" w:ascii="宋体" w:hAnsi="宋体" w:eastAsia="宋体" w:cs="宋体"/>
          <w:sz w:val="24"/>
        </w:rPr>
      </w:pPr>
      <w:r>
        <w:rPr>
          <w:rFonts w:hint="eastAsia" w:ascii="宋体" w:hAnsi="宋体" w:eastAsia="宋体" w:cs="宋体"/>
          <w:sz w:val="24"/>
        </w:rPr>
        <w:t>(1)发包人与承包人共同指定的调解机构为：</w:t>
      </w:r>
      <w:r>
        <w:rPr>
          <w:rFonts w:hint="eastAsia" w:ascii="宋体" w:hAnsi="宋体" w:eastAsia="宋体" w:cs="宋体"/>
          <w:sz w:val="24"/>
          <w:u w:val="single"/>
        </w:rPr>
        <w:t xml:space="preserve">                                 </w:t>
      </w:r>
    </w:p>
    <w:p>
      <w:pPr>
        <w:spacing w:line="360" w:lineRule="auto"/>
        <w:ind w:firstLine="480"/>
        <w:rPr>
          <w:rFonts w:hint="eastAsia" w:ascii="宋体" w:hAnsi="宋体" w:eastAsia="宋体" w:cs="宋体"/>
          <w:sz w:val="24"/>
        </w:rPr>
      </w:pPr>
      <w:r>
        <w:rPr>
          <w:rFonts w:hint="eastAsia" w:ascii="宋体" w:hAnsi="宋体" w:eastAsia="宋体" w:cs="宋体"/>
          <w:sz w:val="24"/>
        </w:rPr>
        <w:t>(2)发包人或承包人一方不愿调解或调解不成的，应采用下列方式之一解决争议(注：只能选择一种方式，在选定的方式前的“□”内打“</w:t>
      </w:r>
      <w:r>
        <w:rPr>
          <w:rFonts w:hint="eastAsia" w:ascii="宋体" w:hAnsi="宋体" w:eastAsia="宋体" w:cs="宋体"/>
          <w:sz w:val="24"/>
        </w:rPr>
        <w:sym w:font="Symbol" w:char="F0D6"/>
      </w:r>
      <w:r>
        <w:rPr>
          <w:rFonts w:hint="eastAsia" w:ascii="宋体" w:hAnsi="宋体" w:eastAsia="宋体" w:cs="宋体"/>
          <w:sz w:val="24"/>
        </w:rPr>
        <w:t>”)：</w:t>
      </w:r>
    </w:p>
    <w:p>
      <w:pPr>
        <w:spacing w:line="360" w:lineRule="auto"/>
        <w:ind w:left="178" w:firstLine="480"/>
        <w:rPr>
          <w:rFonts w:hint="eastAsia" w:ascii="宋体" w:hAnsi="宋体" w:eastAsia="宋体" w:cs="宋体"/>
          <w:sz w:val="24"/>
        </w:rPr>
      </w:pPr>
      <w:r>
        <w:rPr>
          <w:rFonts w:hint="eastAsia" w:ascii="宋体" w:hAnsi="宋体" w:eastAsia="宋体" w:cs="宋体"/>
          <w:sz w:val="24"/>
        </w:rPr>
        <w:drawing>
          <wp:inline distT="0" distB="0" distL="114300" distR="114300">
            <wp:extent cx="152400" cy="142875"/>
            <wp:effectExtent l="0" t="0" r="0" b="9525"/>
            <wp:docPr id="154"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图片 117"/>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sz w:val="24"/>
        </w:rPr>
        <w:t>提交深圳国际仲裁院(深圳仲裁委员会)仲裁；</w:t>
      </w:r>
    </w:p>
    <w:p>
      <w:pPr>
        <w:spacing w:line="360" w:lineRule="auto"/>
        <w:ind w:left="178" w:firstLine="480"/>
        <w:rPr>
          <w:rFonts w:hint="eastAsia" w:ascii="宋体" w:hAnsi="宋体" w:eastAsia="宋体" w:cs="宋体"/>
          <w:sz w:val="24"/>
        </w:rPr>
      </w:pPr>
      <w:r>
        <w:rPr>
          <w:rFonts w:hint="eastAsia" w:ascii="宋体" w:hAnsi="宋体" w:eastAsia="宋体" w:cs="宋体"/>
          <w:sz w:val="24"/>
        </w:rPr>
        <w:drawing>
          <wp:inline distT="0" distB="0" distL="114300" distR="114300">
            <wp:extent cx="152400" cy="142875"/>
            <wp:effectExtent l="0" t="0" r="0" b="9525"/>
            <wp:docPr id="149"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图片 118"/>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sz w:val="24"/>
        </w:rPr>
        <w:t>向有管辖权的人民法院提起诉讼。</w:t>
      </w:r>
    </w:p>
    <w:p>
      <w:pPr>
        <w:pStyle w:val="2"/>
        <w:keepNext w:val="0"/>
        <w:keepLines w:val="0"/>
        <w:numPr>
          <w:ilvl w:val="0"/>
          <w:numId w:val="0"/>
        </w:numPr>
        <w:tabs>
          <w:tab w:val="left" w:pos="540"/>
          <w:tab w:val="left" w:pos="720"/>
          <w:tab w:val="left" w:pos="1620"/>
          <w:tab w:val="left" w:pos="2340"/>
        </w:tabs>
        <w:spacing w:before="120" w:after="120"/>
        <w:ind w:left="178"/>
        <w:rPr>
          <w:rFonts w:hint="eastAsia" w:ascii="宋体" w:hAnsi="宋体" w:eastAsia="宋体" w:cs="宋体"/>
        </w:rPr>
      </w:pPr>
      <w:bookmarkStart w:id="1742" w:name="_Toc29404"/>
      <w:bookmarkStart w:id="1743" w:name="_Toc67418842"/>
      <w:bookmarkStart w:id="1744" w:name="_Toc35656553"/>
      <w:bookmarkStart w:id="1745" w:name="_Toc305331525"/>
      <w:bookmarkStart w:id="1746" w:name="_Toc302636051"/>
      <w:r>
        <w:rPr>
          <w:rFonts w:hint="eastAsia" w:ascii="宋体" w:hAnsi="宋体" w:eastAsia="宋体" w:cs="宋体"/>
        </w:rPr>
        <w:t>31 工程质量缺陷保修</w:t>
      </w:r>
      <w:bookmarkEnd w:id="1742"/>
      <w:bookmarkEnd w:id="1743"/>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747" w:name="_Toc14999"/>
      <w:bookmarkStart w:id="1748" w:name="_Toc67418843"/>
      <w:r>
        <w:rPr>
          <w:rFonts w:hint="eastAsia" w:ascii="宋体" w:hAnsi="宋体" w:eastAsia="宋体" w:cs="宋体"/>
          <w:sz w:val="24"/>
        </w:rPr>
        <w:t>31.2 缺陷责任期</w:t>
      </w:r>
      <w:bookmarkEnd w:id="1747"/>
      <w:bookmarkEnd w:id="1748"/>
    </w:p>
    <w:p>
      <w:pPr>
        <w:spacing w:line="360" w:lineRule="auto"/>
        <w:ind w:firstLine="480"/>
        <w:rPr>
          <w:rFonts w:hint="eastAsia" w:ascii="宋体" w:hAnsi="宋体" w:eastAsia="宋体" w:cs="宋体"/>
          <w:sz w:val="24"/>
        </w:rPr>
      </w:pPr>
      <w:r>
        <w:rPr>
          <w:rFonts w:hint="eastAsia" w:ascii="宋体" w:hAnsi="宋体" w:eastAsia="宋体" w:cs="宋体"/>
          <w:sz w:val="24"/>
        </w:rPr>
        <w:t>(1)本工程缺陷责任期期限为：</w:t>
      </w:r>
      <w:r>
        <w:rPr>
          <w:rFonts w:hint="eastAsia" w:ascii="宋体" w:hAnsi="宋体" w:eastAsia="宋体" w:cs="宋体"/>
          <w:sz w:val="24"/>
          <w:u w:val="single"/>
        </w:rPr>
        <w:t xml:space="preserve">         </w:t>
      </w:r>
      <w:r>
        <w:rPr>
          <w:rFonts w:hint="eastAsia" w:ascii="宋体" w:hAnsi="宋体" w:eastAsia="宋体" w:cs="宋体"/>
          <w:sz w:val="24"/>
        </w:rPr>
        <w:t>；</w:t>
      </w:r>
    </w:p>
    <w:p>
      <w:pPr>
        <w:spacing w:line="360" w:lineRule="auto"/>
        <w:ind w:firstLine="480"/>
        <w:rPr>
          <w:rFonts w:hint="eastAsia" w:ascii="宋体" w:hAnsi="宋体" w:eastAsia="宋体" w:cs="宋体"/>
          <w:sz w:val="24"/>
        </w:rPr>
      </w:pPr>
      <w:r>
        <w:rPr>
          <w:rFonts w:hint="eastAsia" w:ascii="宋体" w:hAnsi="宋体" w:eastAsia="宋体" w:cs="宋体"/>
          <w:sz w:val="24"/>
        </w:rPr>
        <w:t>(4)承包人向发包人发出缺陷责任期届满通知的时间：</w:t>
      </w:r>
      <w:r>
        <w:rPr>
          <w:rFonts w:hint="eastAsia" w:ascii="宋体" w:hAnsi="宋体" w:eastAsia="宋体" w:cs="宋体"/>
          <w:sz w:val="24"/>
          <w:u w:val="single"/>
        </w:rPr>
        <w:t xml:space="preserve">               </w:t>
      </w:r>
      <w:r>
        <w:rPr>
          <w:rFonts w:hint="eastAsia" w:ascii="宋体" w:hAnsi="宋体" w:eastAsia="宋体" w:cs="宋体"/>
          <w:sz w:val="24"/>
        </w:rPr>
        <w:t>；</w:t>
      </w:r>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749" w:name="_Toc13218"/>
      <w:bookmarkStart w:id="1750" w:name="_Toc67418844"/>
      <w:r>
        <w:rPr>
          <w:rFonts w:hint="eastAsia" w:ascii="宋体" w:hAnsi="宋体" w:eastAsia="宋体" w:cs="宋体"/>
          <w:sz w:val="24"/>
        </w:rPr>
        <w:t>31.3 质量保证金</w:t>
      </w:r>
      <w:bookmarkEnd w:id="1749"/>
      <w:bookmarkEnd w:id="1750"/>
    </w:p>
    <w:p>
      <w:pPr>
        <w:spacing w:line="360" w:lineRule="auto"/>
        <w:ind w:firstLine="480"/>
        <w:rPr>
          <w:rFonts w:hint="eastAsia" w:ascii="宋体" w:hAnsi="宋体" w:eastAsia="宋体" w:cs="宋体"/>
          <w:sz w:val="24"/>
        </w:rPr>
      </w:pPr>
      <w:r>
        <w:rPr>
          <w:rFonts w:hint="eastAsia" w:ascii="宋体" w:hAnsi="宋体" w:eastAsia="宋体" w:cs="宋体"/>
          <w:sz w:val="24"/>
        </w:rPr>
        <w:t>(1)本工程扣留质量保证金的约定：</w:t>
      </w:r>
      <w:r>
        <w:rPr>
          <w:rFonts w:hint="eastAsia" w:ascii="宋体" w:hAnsi="宋体" w:eastAsia="宋体" w:cs="宋体"/>
          <w:sz w:val="24"/>
          <w:u w:val="single"/>
        </w:rPr>
        <w:t xml:space="preserve">                                       </w:t>
      </w:r>
      <w:r>
        <w:rPr>
          <w:rFonts w:hint="eastAsia" w:ascii="宋体" w:hAnsi="宋体" w:eastAsia="宋体" w:cs="宋体"/>
          <w:sz w:val="24"/>
        </w:rPr>
        <w:t>；</w:t>
      </w:r>
    </w:p>
    <w:p>
      <w:pPr>
        <w:adjustRightInd w:val="0"/>
        <w:spacing w:line="360" w:lineRule="auto"/>
        <w:ind w:firstLine="360" w:firstLineChars="150"/>
        <w:rPr>
          <w:rFonts w:hint="eastAsia" w:ascii="宋体" w:hAnsi="宋体" w:eastAsia="宋体" w:cs="宋体"/>
          <w:sz w:val="24"/>
        </w:rPr>
      </w:pPr>
      <w:r>
        <w:rPr>
          <w:rFonts w:hint="eastAsia" w:ascii="宋体" w:hAnsi="宋体" w:eastAsia="宋体" w:cs="宋体"/>
          <w:sz w:val="24"/>
        </w:rPr>
        <w:t xml:space="preserve"> (2)质量保证金的提供方式为：</w:t>
      </w:r>
      <w:r>
        <w:rPr>
          <w:rFonts w:hint="eastAsia" w:ascii="宋体" w:hAnsi="宋体" w:eastAsia="宋体" w:cs="宋体"/>
          <w:sz w:val="24"/>
          <w:u w:val="single"/>
        </w:rPr>
        <w:t xml:space="preserve">                   </w:t>
      </w:r>
      <w:r>
        <w:rPr>
          <w:rFonts w:hint="eastAsia" w:ascii="宋体" w:hAnsi="宋体" w:eastAsia="宋体" w:cs="宋体"/>
          <w:sz w:val="24"/>
        </w:rPr>
        <w:t>；</w:t>
      </w:r>
    </w:p>
    <w:p>
      <w:pPr>
        <w:spacing w:line="360" w:lineRule="auto"/>
        <w:ind w:firstLine="480"/>
        <w:rPr>
          <w:rFonts w:hint="eastAsia" w:ascii="宋体" w:hAnsi="宋体" w:eastAsia="宋体" w:cs="宋体"/>
          <w:sz w:val="24"/>
        </w:rPr>
      </w:pPr>
      <w:r>
        <w:rPr>
          <w:rFonts w:hint="eastAsia" w:ascii="宋体" w:hAnsi="宋体" w:eastAsia="宋体" w:cs="宋体"/>
          <w:sz w:val="24"/>
        </w:rPr>
        <w:t>(3)质量保证金的扣留方式为：</w:t>
      </w:r>
      <w:r>
        <w:rPr>
          <w:rFonts w:hint="eastAsia" w:ascii="宋体" w:hAnsi="宋体" w:eastAsia="宋体" w:cs="宋体"/>
          <w:sz w:val="24"/>
          <w:u w:val="single"/>
        </w:rPr>
        <w:t xml:space="preserve">                   </w:t>
      </w:r>
      <w:r>
        <w:rPr>
          <w:rFonts w:hint="eastAsia" w:ascii="宋体" w:hAnsi="宋体" w:eastAsia="宋体" w:cs="宋体"/>
          <w:sz w:val="24"/>
        </w:rPr>
        <w:t>；</w:t>
      </w:r>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751" w:name="_Toc67418845"/>
      <w:bookmarkStart w:id="1752" w:name="_Toc19066"/>
      <w:r>
        <w:rPr>
          <w:rFonts w:hint="eastAsia" w:ascii="宋体" w:hAnsi="宋体" w:eastAsia="宋体" w:cs="宋体"/>
          <w:sz w:val="24"/>
        </w:rPr>
        <w:t>31.4 保修责任</w:t>
      </w:r>
      <w:bookmarkEnd w:id="1751"/>
      <w:bookmarkEnd w:id="1752"/>
    </w:p>
    <w:p>
      <w:pPr>
        <w:spacing w:line="360" w:lineRule="auto"/>
        <w:ind w:firstLine="480"/>
        <w:rPr>
          <w:rFonts w:hint="eastAsia" w:ascii="宋体" w:hAnsi="宋体" w:eastAsia="宋体" w:cs="宋体"/>
          <w:sz w:val="24"/>
          <w:u w:val="single"/>
        </w:rPr>
      </w:pPr>
      <w:r>
        <w:rPr>
          <w:rFonts w:hint="eastAsia" w:ascii="宋体" w:hAnsi="宋体" w:eastAsia="宋体" w:cs="宋体"/>
          <w:sz w:val="24"/>
        </w:rPr>
        <w:t>本工程分部分项工程保修期为：</w:t>
      </w:r>
      <w:r>
        <w:rPr>
          <w:rFonts w:hint="eastAsia" w:ascii="宋体" w:hAnsi="宋体" w:eastAsia="宋体" w:cs="宋体"/>
          <w:sz w:val="24"/>
          <w:u w:val="single"/>
        </w:rPr>
        <w:t xml:space="preserve">                                            </w:t>
      </w:r>
    </w:p>
    <w:p>
      <w:pPr>
        <w:spacing w:line="360" w:lineRule="auto"/>
        <w:rPr>
          <w:rFonts w:hint="eastAsia" w:ascii="宋体" w:hAnsi="宋体" w:eastAsia="宋体" w:cs="宋体"/>
          <w:sz w:val="24"/>
          <w:u w:val="single"/>
        </w:rPr>
      </w:pPr>
      <w:r>
        <w:rPr>
          <w:rFonts w:hint="eastAsia" w:ascii="宋体" w:hAnsi="宋体" w:eastAsia="宋体" w:cs="宋体"/>
          <w:sz w:val="24"/>
          <w:u w:val="single"/>
        </w:rPr>
        <w:t xml:space="preserve">                                                                            </w:t>
      </w:r>
    </w:p>
    <w:p>
      <w:pPr>
        <w:spacing w:line="360" w:lineRule="auto"/>
        <w:rPr>
          <w:rFonts w:hint="eastAsia" w:ascii="宋体" w:hAnsi="宋体" w:eastAsia="宋体" w:cs="宋体"/>
          <w:sz w:val="24"/>
          <w:u w:val="single"/>
        </w:rPr>
      </w:pPr>
      <w:r>
        <w:rPr>
          <w:rFonts w:hint="eastAsia" w:ascii="宋体" w:hAnsi="宋体" w:eastAsia="宋体" w:cs="宋体"/>
          <w:sz w:val="24"/>
          <w:u w:val="single"/>
        </w:rPr>
        <w:t xml:space="preserve">                                                                            </w:t>
      </w:r>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753" w:name="_Toc67418846"/>
      <w:bookmarkStart w:id="1754" w:name="_Toc26616"/>
      <w:r>
        <w:rPr>
          <w:rFonts w:hint="eastAsia" w:ascii="宋体" w:hAnsi="宋体" w:eastAsia="宋体" w:cs="宋体"/>
          <w:sz w:val="24"/>
        </w:rPr>
        <w:t>31.6 修复通知</w:t>
      </w:r>
      <w:bookmarkEnd w:id="1753"/>
      <w:bookmarkEnd w:id="1754"/>
    </w:p>
    <w:p>
      <w:pPr>
        <w:spacing w:line="360" w:lineRule="auto"/>
        <w:ind w:firstLine="480"/>
        <w:rPr>
          <w:rFonts w:hint="eastAsia" w:ascii="宋体" w:hAnsi="宋体" w:eastAsia="宋体" w:cs="宋体"/>
          <w:sz w:val="24"/>
        </w:rPr>
      </w:pPr>
      <w:r>
        <w:rPr>
          <w:rFonts w:hint="eastAsia" w:ascii="宋体" w:hAnsi="宋体" w:eastAsia="宋体" w:cs="宋体"/>
          <w:sz w:val="24"/>
        </w:rPr>
        <w:t>承包人收到保修通知并到达工程现场的合理时间为：</w:t>
      </w:r>
      <w:r>
        <w:rPr>
          <w:rFonts w:hint="eastAsia" w:ascii="宋体" w:hAnsi="宋体" w:eastAsia="宋体" w:cs="宋体"/>
          <w:sz w:val="24"/>
          <w:u w:val="single"/>
        </w:rPr>
        <w:t xml:space="preserve">                </w:t>
      </w:r>
      <w:r>
        <w:rPr>
          <w:rFonts w:hint="eastAsia" w:ascii="宋体" w:hAnsi="宋体" w:eastAsia="宋体" w:cs="宋体"/>
          <w:sz w:val="24"/>
        </w:rPr>
        <w:t>；</w:t>
      </w:r>
    </w:p>
    <w:p>
      <w:pPr>
        <w:pStyle w:val="2"/>
        <w:keepNext w:val="0"/>
        <w:keepLines w:val="0"/>
        <w:numPr>
          <w:ilvl w:val="0"/>
          <w:numId w:val="0"/>
        </w:numPr>
        <w:tabs>
          <w:tab w:val="left" w:pos="540"/>
          <w:tab w:val="left" w:pos="720"/>
          <w:tab w:val="left" w:pos="1620"/>
          <w:tab w:val="left" w:pos="2340"/>
        </w:tabs>
        <w:spacing w:before="120" w:after="120"/>
        <w:ind w:left="178"/>
        <w:rPr>
          <w:rFonts w:hint="eastAsia" w:ascii="宋体" w:hAnsi="宋体" w:eastAsia="宋体" w:cs="宋体"/>
        </w:rPr>
      </w:pPr>
      <w:bookmarkStart w:id="1755" w:name="_Toc67418847"/>
      <w:bookmarkStart w:id="1756" w:name="_Toc29088"/>
      <w:r>
        <w:rPr>
          <w:rFonts w:hint="eastAsia" w:ascii="宋体" w:hAnsi="宋体" w:eastAsia="宋体" w:cs="宋体"/>
        </w:rPr>
        <w:t>32 不可抗力</w:t>
      </w:r>
      <w:bookmarkEnd w:id="1744"/>
      <w:bookmarkEnd w:id="1745"/>
      <w:bookmarkEnd w:id="1746"/>
      <w:bookmarkEnd w:id="1755"/>
      <w:bookmarkEnd w:id="1756"/>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757" w:name="_Toc302636052"/>
      <w:bookmarkStart w:id="1758" w:name="_Toc305331526"/>
      <w:bookmarkStart w:id="1759" w:name="_Toc67418848"/>
      <w:bookmarkStart w:id="1760" w:name="_Toc21936"/>
      <w:r>
        <w:rPr>
          <w:rFonts w:hint="eastAsia" w:ascii="宋体" w:hAnsi="宋体" w:eastAsia="宋体" w:cs="宋体"/>
          <w:sz w:val="24"/>
        </w:rPr>
        <w:t>32.1 不可抗力包括范围</w:t>
      </w:r>
      <w:bookmarkEnd w:id="1757"/>
      <w:bookmarkEnd w:id="1758"/>
      <w:bookmarkEnd w:id="1759"/>
      <w:bookmarkEnd w:id="1760"/>
    </w:p>
    <w:p>
      <w:pPr>
        <w:spacing w:line="360" w:lineRule="auto"/>
        <w:ind w:firstLine="480"/>
        <w:rPr>
          <w:rFonts w:hint="eastAsia" w:ascii="宋体" w:hAnsi="宋体" w:eastAsia="宋体" w:cs="宋体"/>
          <w:sz w:val="24"/>
        </w:rPr>
      </w:pPr>
      <w:r>
        <w:rPr>
          <w:rFonts w:hint="eastAsia" w:ascii="宋体" w:hAnsi="宋体" w:eastAsia="宋体" w:cs="宋体"/>
          <w:sz w:val="24"/>
        </w:rPr>
        <w:t>发包人与承包人约定的其他不可抗力：</w:t>
      </w:r>
    </w:p>
    <w:p>
      <w:pPr>
        <w:spacing w:line="360" w:lineRule="auto"/>
        <w:ind w:firstLine="480"/>
        <w:rPr>
          <w:rFonts w:hint="eastAsia" w:ascii="宋体" w:hAnsi="宋体" w:eastAsia="宋体" w:cs="宋体"/>
          <w:sz w:val="24"/>
        </w:rPr>
      </w:pPr>
      <w:r>
        <w:rPr>
          <w:rFonts w:hint="eastAsia" w:ascii="宋体" w:hAnsi="宋体" w:eastAsia="宋体" w:cs="宋体"/>
          <w:sz w:val="24"/>
        </w:rPr>
        <w:t>(1)平均风力</w:t>
      </w:r>
      <w:r>
        <w:rPr>
          <w:rFonts w:hint="eastAsia" w:ascii="宋体" w:hAnsi="宋体" w:eastAsia="宋体" w:cs="宋体"/>
          <w:sz w:val="24"/>
          <w:u w:val="single"/>
        </w:rPr>
        <w:t xml:space="preserve">      </w:t>
      </w:r>
      <w:r>
        <w:rPr>
          <w:rFonts w:hint="eastAsia" w:ascii="宋体" w:hAnsi="宋体" w:eastAsia="宋体" w:cs="宋体"/>
          <w:sz w:val="24"/>
        </w:rPr>
        <w:t>级以上的大风(一般为8级)；</w:t>
      </w:r>
    </w:p>
    <w:p>
      <w:pPr>
        <w:spacing w:line="360" w:lineRule="auto"/>
        <w:ind w:firstLine="480"/>
        <w:rPr>
          <w:rFonts w:hint="eastAsia" w:ascii="宋体" w:hAnsi="宋体" w:eastAsia="宋体" w:cs="宋体"/>
          <w:sz w:val="24"/>
        </w:rPr>
      </w:pPr>
      <w:r>
        <w:rPr>
          <w:rFonts w:hint="eastAsia" w:ascii="宋体" w:hAnsi="宋体" w:eastAsia="宋体" w:cs="宋体"/>
          <w:sz w:val="24"/>
        </w:rPr>
        <w:t>(2)3个小时内降雨量为</w:t>
      </w:r>
      <w:r>
        <w:rPr>
          <w:rFonts w:hint="eastAsia" w:ascii="宋体" w:hAnsi="宋体" w:eastAsia="宋体" w:cs="宋体"/>
          <w:sz w:val="24"/>
          <w:u w:val="single"/>
        </w:rPr>
        <w:t xml:space="preserve">        </w:t>
      </w:r>
      <w:r>
        <w:rPr>
          <w:rFonts w:hint="eastAsia" w:ascii="宋体" w:hAnsi="宋体" w:eastAsia="宋体" w:cs="宋体"/>
          <w:sz w:val="24"/>
        </w:rPr>
        <w:t>以上的暴雨(一般为50mm)；</w:t>
      </w:r>
    </w:p>
    <w:p>
      <w:pPr>
        <w:spacing w:line="360" w:lineRule="auto"/>
        <w:ind w:firstLine="480"/>
        <w:rPr>
          <w:rFonts w:hint="eastAsia" w:ascii="宋体" w:hAnsi="宋体" w:eastAsia="宋体" w:cs="宋体"/>
          <w:sz w:val="24"/>
        </w:rPr>
      </w:pPr>
      <w:r>
        <w:rPr>
          <w:rFonts w:hint="eastAsia" w:ascii="宋体" w:hAnsi="宋体" w:eastAsia="宋体" w:cs="宋体"/>
          <w:sz w:val="24"/>
        </w:rPr>
        <w:t>(3)</w:t>
      </w:r>
      <w:r>
        <w:rPr>
          <w:rFonts w:hint="eastAsia" w:ascii="宋体" w:hAnsi="宋体" w:eastAsia="宋体" w:cs="宋体"/>
          <w:sz w:val="24"/>
          <w:u w:val="single"/>
        </w:rPr>
        <w:t xml:space="preserve">      </w:t>
      </w:r>
      <w:r>
        <w:rPr>
          <w:rFonts w:hint="eastAsia" w:ascii="宋体" w:hAnsi="宋体" w:eastAsia="宋体" w:cs="宋体"/>
          <w:sz w:val="24"/>
        </w:rPr>
        <w:t>摄氏度以上的高温天气(一般为37摄氏度)；</w:t>
      </w:r>
    </w:p>
    <w:p>
      <w:pPr>
        <w:spacing w:line="360" w:lineRule="auto"/>
        <w:ind w:firstLine="480"/>
        <w:rPr>
          <w:rFonts w:hint="eastAsia" w:ascii="宋体" w:hAnsi="宋体" w:eastAsia="宋体" w:cs="宋体"/>
          <w:sz w:val="24"/>
        </w:rPr>
      </w:pPr>
      <w:r>
        <w:rPr>
          <w:rFonts w:hint="eastAsia" w:ascii="宋体" w:hAnsi="宋体" w:eastAsia="宋体" w:cs="宋体"/>
          <w:sz w:val="24"/>
        </w:rPr>
        <w:t>(4)其它：</w:t>
      </w:r>
      <w:r>
        <w:rPr>
          <w:rFonts w:hint="eastAsia" w:ascii="宋体" w:hAnsi="宋体" w:eastAsia="宋体" w:cs="宋体"/>
          <w:sz w:val="24"/>
          <w:u w:val="single"/>
        </w:rPr>
        <w:t xml:space="preserve">                                                               </w:t>
      </w:r>
    </w:p>
    <w:p>
      <w:pPr>
        <w:pStyle w:val="2"/>
        <w:keepNext w:val="0"/>
        <w:keepLines w:val="0"/>
        <w:numPr>
          <w:ilvl w:val="0"/>
          <w:numId w:val="0"/>
        </w:numPr>
        <w:tabs>
          <w:tab w:val="left" w:pos="540"/>
          <w:tab w:val="left" w:pos="720"/>
          <w:tab w:val="left" w:pos="1620"/>
          <w:tab w:val="left" w:pos="2340"/>
        </w:tabs>
        <w:spacing w:before="120" w:after="120"/>
        <w:ind w:left="178"/>
        <w:rPr>
          <w:rFonts w:hint="eastAsia" w:ascii="宋体" w:hAnsi="宋体" w:eastAsia="宋体" w:cs="宋体"/>
        </w:rPr>
      </w:pPr>
      <w:bookmarkStart w:id="1761" w:name="_Toc305331527"/>
      <w:bookmarkStart w:id="1762" w:name="_Toc67418849"/>
      <w:bookmarkStart w:id="1763" w:name="_Toc302636053"/>
      <w:bookmarkStart w:id="1764" w:name="_Toc35656556"/>
      <w:bookmarkStart w:id="1765" w:name="_Toc28698"/>
      <w:r>
        <w:rPr>
          <w:rFonts w:hint="eastAsia" w:ascii="宋体" w:hAnsi="宋体" w:eastAsia="宋体" w:cs="宋体"/>
        </w:rPr>
        <w:t>33 工程保险</w:t>
      </w:r>
      <w:bookmarkEnd w:id="1761"/>
      <w:bookmarkEnd w:id="1762"/>
      <w:bookmarkEnd w:id="1763"/>
      <w:bookmarkEnd w:id="1764"/>
      <w:bookmarkEnd w:id="1765"/>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766" w:name="_Toc67418850"/>
      <w:bookmarkStart w:id="1767" w:name="_Toc302636054"/>
      <w:bookmarkStart w:id="1768" w:name="_Toc12280"/>
      <w:bookmarkStart w:id="1769" w:name="_Toc305331528"/>
      <w:r>
        <w:rPr>
          <w:rFonts w:hint="eastAsia" w:ascii="宋体" w:hAnsi="宋体" w:eastAsia="宋体" w:cs="宋体"/>
          <w:sz w:val="24"/>
        </w:rPr>
        <w:t>33.1 发包人办理的保险</w:t>
      </w:r>
      <w:bookmarkEnd w:id="1766"/>
      <w:bookmarkEnd w:id="1767"/>
      <w:bookmarkEnd w:id="1768"/>
      <w:bookmarkEnd w:id="1769"/>
    </w:p>
    <w:p>
      <w:pPr>
        <w:spacing w:line="360" w:lineRule="auto"/>
        <w:ind w:firstLine="480"/>
        <w:rPr>
          <w:rFonts w:hint="eastAsia" w:ascii="宋体" w:hAnsi="宋体" w:eastAsia="宋体" w:cs="宋体"/>
          <w:sz w:val="24"/>
          <w:u w:val="single"/>
        </w:rPr>
      </w:pPr>
      <w:r>
        <w:rPr>
          <w:rFonts w:hint="eastAsia" w:ascii="宋体" w:hAnsi="宋体" w:eastAsia="宋体" w:cs="宋体"/>
          <w:sz w:val="24"/>
        </w:rPr>
        <w:t>发包人委托承包人办理的保险事项的约定：</w:t>
      </w:r>
      <w:r>
        <w:rPr>
          <w:rFonts w:hint="eastAsia" w:ascii="宋体" w:hAnsi="宋体" w:eastAsia="宋体" w:cs="宋体"/>
          <w:sz w:val="24"/>
          <w:u w:val="single"/>
        </w:rPr>
        <w:t xml:space="preserve">                                   </w:t>
      </w:r>
    </w:p>
    <w:p>
      <w:pPr>
        <w:spacing w:line="360" w:lineRule="auto"/>
        <w:rPr>
          <w:rFonts w:hint="eastAsia" w:ascii="宋体" w:hAnsi="宋体" w:eastAsia="宋体" w:cs="宋体"/>
          <w:sz w:val="24"/>
          <w:u w:val="single"/>
        </w:rPr>
      </w:pPr>
      <w:r>
        <w:rPr>
          <w:rFonts w:hint="eastAsia" w:ascii="宋体" w:hAnsi="宋体" w:eastAsia="宋体" w:cs="宋体"/>
          <w:sz w:val="24"/>
          <w:u w:val="single"/>
        </w:rPr>
        <w:t xml:space="preserve">                                                                            </w:t>
      </w:r>
    </w:p>
    <w:p>
      <w:pPr>
        <w:spacing w:line="360" w:lineRule="auto"/>
        <w:rPr>
          <w:rFonts w:hint="eastAsia" w:ascii="宋体" w:hAnsi="宋体" w:eastAsia="宋体" w:cs="宋体"/>
          <w:sz w:val="24"/>
          <w:u w:val="single"/>
        </w:rPr>
      </w:pPr>
      <w:r>
        <w:rPr>
          <w:rFonts w:hint="eastAsia" w:ascii="宋体" w:hAnsi="宋体" w:eastAsia="宋体" w:cs="宋体"/>
          <w:sz w:val="24"/>
          <w:u w:val="single"/>
        </w:rPr>
        <w:t xml:space="preserve">                                                                            </w:t>
      </w:r>
    </w:p>
    <w:p>
      <w:pPr>
        <w:spacing w:line="360" w:lineRule="auto"/>
        <w:ind w:firstLine="480"/>
        <w:rPr>
          <w:rFonts w:hint="eastAsia" w:ascii="宋体" w:hAnsi="宋体" w:eastAsia="宋体" w:cs="宋体"/>
          <w:sz w:val="24"/>
          <w:u w:val="single"/>
        </w:rPr>
      </w:pPr>
      <w:r>
        <w:rPr>
          <w:rFonts w:hint="eastAsia" w:ascii="宋体" w:hAnsi="宋体" w:eastAsia="宋体" w:cs="宋体"/>
          <w:sz w:val="24"/>
        </w:rPr>
        <w:t>本工程发包人委托承包人办理的保险事项：</w:t>
      </w:r>
    </w:p>
    <w:p>
      <w:pPr>
        <w:spacing w:line="360" w:lineRule="auto"/>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rPr>
        <w:drawing>
          <wp:inline distT="0" distB="0" distL="114300" distR="114300">
            <wp:extent cx="152400" cy="142875"/>
            <wp:effectExtent l="0" t="0" r="0" b="9525"/>
            <wp:docPr id="157"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图片 119"/>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sz w:val="24"/>
        </w:rPr>
        <w:t>建筑工程一切险；</w:t>
      </w:r>
    </w:p>
    <w:p>
      <w:pPr>
        <w:spacing w:line="360" w:lineRule="auto"/>
        <w:ind w:firstLine="480"/>
        <w:rPr>
          <w:rFonts w:hint="eastAsia" w:ascii="宋体" w:hAnsi="宋体" w:eastAsia="宋体" w:cs="宋体"/>
          <w:sz w:val="24"/>
        </w:rPr>
      </w:pPr>
      <w:r>
        <w:rPr>
          <w:rFonts w:hint="eastAsia" w:ascii="宋体" w:hAnsi="宋体" w:eastAsia="宋体" w:cs="宋体"/>
          <w:sz w:val="24"/>
        </w:rPr>
        <w:t>该项保险保险费：</w:t>
      </w:r>
      <w:r>
        <w:rPr>
          <w:rFonts w:hint="eastAsia" w:ascii="宋体" w:hAnsi="宋体" w:eastAsia="宋体" w:cs="宋体"/>
          <w:sz w:val="24"/>
        </w:rPr>
        <w:drawing>
          <wp:inline distT="0" distB="0" distL="114300" distR="114300">
            <wp:extent cx="152400" cy="142875"/>
            <wp:effectExtent l="0" t="0" r="0" b="9525"/>
            <wp:docPr id="152"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图片 120"/>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sz w:val="24"/>
        </w:rPr>
        <w:t>已包含在投标报价(签约合同价)中，结算时不予调整；</w:t>
      </w:r>
    </w:p>
    <w:p>
      <w:pPr>
        <w:spacing w:line="360" w:lineRule="auto"/>
        <w:ind w:firstLine="2400"/>
        <w:rPr>
          <w:rFonts w:hint="eastAsia" w:ascii="宋体" w:hAnsi="宋体" w:eastAsia="宋体" w:cs="宋体"/>
          <w:sz w:val="24"/>
        </w:rPr>
      </w:pPr>
      <w:r>
        <w:rPr>
          <w:rFonts w:hint="eastAsia" w:ascii="宋体" w:hAnsi="宋体" w:eastAsia="宋体" w:cs="宋体"/>
          <w:sz w:val="24"/>
        </w:rPr>
        <w:drawing>
          <wp:inline distT="0" distB="0" distL="114300" distR="114300">
            <wp:extent cx="152400" cy="142875"/>
            <wp:effectExtent l="0" t="0" r="0" b="9525"/>
            <wp:docPr id="148"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图片 121"/>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sz w:val="24"/>
        </w:rPr>
        <w:t>未包含在投标报价(签约合同价)中，由发包人另行支付；</w:t>
      </w:r>
    </w:p>
    <w:p>
      <w:pPr>
        <w:spacing w:line="360" w:lineRule="auto"/>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rPr>
        <w:drawing>
          <wp:inline distT="0" distB="0" distL="114300" distR="114300">
            <wp:extent cx="152400" cy="142875"/>
            <wp:effectExtent l="0" t="0" r="0" b="9525"/>
            <wp:docPr id="150"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图片 122"/>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sz w:val="24"/>
        </w:rPr>
        <w:t>安装工程一切险；</w:t>
      </w:r>
    </w:p>
    <w:p>
      <w:pPr>
        <w:spacing w:line="360" w:lineRule="auto"/>
        <w:ind w:firstLine="480"/>
        <w:rPr>
          <w:rFonts w:hint="eastAsia" w:ascii="宋体" w:hAnsi="宋体" w:eastAsia="宋体" w:cs="宋体"/>
          <w:sz w:val="24"/>
        </w:rPr>
      </w:pPr>
      <w:r>
        <w:rPr>
          <w:rFonts w:hint="eastAsia" w:ascii="宋体" w:hAnsi="宋体" w:eastAsia="宋体" w:cs="宋体"/>
          <w:sz w:val="24"/>
        </w:rPr>
        <w:t>该项保险保险费：</w:t>
      </w:r>
      <w:r>
        <w:rPr>
          <w:rFonts w:hint="eastAsia" w:ascii="宋体" w:hAnsi="宋体" w:eastAsia="宋体" w:cs="宋体"/>
          <w:sz w:val="24"/>
        </w:rPr>
        <w:drawing>
          <wp:inline distT="0" distB="0" distL="114300" distR="114300">
            <wp:extent cx="152400" cy="142875"/>
            <wp:effectExtent l="0" t="0" r="0" b="9525"/>
            <wp:docPr id="155"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图片 123"/>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sz w:val="24"/>
        </w:rPr>
        <w:t>已包含在投标报价中(签约合同价)，结算时不予调整；</w:t>
      </w:r>
    </w:p>
    <w:p>
      <w:pPr>
        <w:spacing w:line="360" w:lineRule="auto"/>
        <w:ind w:firstLine="2400"/>
        <w:rPr>
          <w:rFonts w:hint="eastAsia" w:ascii="宋体" w:hAnsi="宋体" w:eastAsia="宋体" w:cs="宋体"/>
          <w:sz w:val="24"/>
        </w:rPr>
      </w:pPr>
      <w:r>
        <w:rPr>
          <w:rFonts w:hint="eastAsia" w:ascii="宋体" w:hAnsi="宋体" w:eastAsia="宋体" w:cs="宋体"/>
          <w:sz w:val="24"/>
        </w:rPr>
        <w:drawing>
          <wp:inline distT="0" distB="0" distL="114300" distR="114300">
            <wp:extent cx="152400" cy="142875"/>
            <wp:effectExtent l="0" t="0" r="0" b="9525"/>
            <wp:docPr id="151"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124"/>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sz w:val="24"/>
        </w:rPr>
        <w:t>未包含在投标报价中(签约合同价)，由发包人另行支付；</w:t>
      </w:r>
    </w:p>
    <w:p>
      <w:pPr>
        <w:spacing w:line="360" w:lineRule="auto"/>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rPr>
        <w:drawing>
          <wp:inline distT="0" distB="0" distL="114300" distR="114300">
            <wp:extent cx="152400" cy="142875"/>
            <wp:effectExtent l="0" t="0" r="0" b="9525"/>
            <wp:docPr id="153"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图片 125"/>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sz w:val="24"/>
        </w:rPr>
        <w:t>第三者责任险；</w:t>
      </w:r>
    </w:p>
    <w:p>
      <w:pPr>
        <w:spacing w:line="360" w:lineRule="auto"/>
        <w:ind w:firstLine="480"/>
        <w:rPr>
          <w:rFonts w:hint="eastAsia" w:ascii="宋体" w:hAnsi="宋体" w:eastAsia="宋体" w:cs="宋体"/>
          <w:sz w:val="24"/>
        </w:rPr>
      </w:pPr>
      <w:r>
        <w:rPr>
          <w:rFonts w:hint="eastAsia" w:ascii="宋体" w:hAnsi="宋体" w:eastAsia="宋体" w:cs="宋体"/>
          <w:sz w:val="24"/>
        </w:rPr>
        <w:t>该项保险保险费：</w:t>
      </w:r>
      <w:r>
        <w:rPr>
          <w:rFonts w:hint="eastAsia" w:ascii="宋体" w:hAnsi="宋体" w:eastAsia="宋体" w:cs="宋体"/>
          <w:sz w:val="24"/>
        </w:rPr>
        <w:drawing>
          <wp:inline distT="0" distB="0" distL="114300" distR="114300">
            <wp:extent cx="152400" cy="142875"/>
            <wp:effectExtent l="0" t="0" r="0" b="9525"/>
            <wp:docPr id="15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图片 126"/>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sz w:val="24"/>
        </w:rPr>
        <w:t>已包含在投标报价中(签约合同价)，结算时不予调整；</w:t>
      </w:r>
    </w:p>
    <w:p>
      <w:pPr>
        <w:spacing w:line="360" w:lineRule="auto"/>
        <w:ind w:firstLine="2400"/>
        <w:rPr>
          <w:rFonts w:hint="eastAsia" w:ascii="宋体" w:hAnsi="宋体" w:eastAsia="宋体" w:cs="宋体"/>
          <w:sz w:val="24"/>
        </w:rPr>
      </w:pPr>
      <w:r>
        <w:rPr>
          <w:rFonts w:hint="eastAsia" w:ascii="宋体" w:hAnsi="宋体" w:eastAsia="宋体" w:cs="宋体"/>
          <w:sz w:val="24"/>
        </w:rPr>
        <w:drawing>
          <wp:inline distT="0" distB="0" distL="114300" distR="114300">
            <wp:extent cx="152400" cy="142875"/>
            <wp:effectExtent l="0" t="0" r="0" b="9525"/>
            <wp:docPr id="143"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图片 127"/>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sz w:val="24"/>
        </w:rPr>
        <w:t>未包含在投标报价中(签约合同价)，由发包人另行支付；</w:t>
      </w:r>
    </w:p>
    <w:p>
      <w:pPr>
        <w:spacing w:line="360" w:lineRule="auto"/>
        <w:ind w:firstLine="480"/>
        <w:rPr>
          <w:rFonts w:hint="eastAsia" w:ascii="宋体" w:hAnsi="宋体" w:eastAsia="宋体" w:cs="宋体"/>
          <w:sz w:val="24"/>
          <w:u w:val="single"/>
        </w:rPr>
      </w:pPr>
      <w:r>
        <w:rPr>
          <w:rFonts w:hint="eastAsia" w:ascii="宋体" w:hAnsi="宋体" w:eastAsia="宋体" w:cs="宋体"/>
          <w:sz w:val="24"/>
        </w:rPr>
        <w:drawing>
          <wp:inline distT="0" distB="0" distL="114300" distR="114300">
            <wp:extent cx="152400" cy="142875"/>
            <wp:effectExtent l="0" t="0" r="0" b="9525"/>
            <wp:docPr id="144"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图片 128"/>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sz w:val="24"/>
        </w:rPr>
        <w:t>其他：</w:t>
      </w:r>
      <w:r>
        <w:rPr>
          <w:rFonts w:hint="eastAsia" w:ascii="宋体" w:hAnsi="宋体" w:eastAsia="宋体" w:cs="宋体"/>
          <w:kern w:val="0"/>
          <w:sz w:val="24"/>
          <w:u w:val="single"/>
        </w:rPr>
        <w:t xml:space="preserve">                                                        </w:t>
      </w:r>
      <w:r>
        <w:rPr>
          <w:rFonts w:hint="eastAsia" w:ascii="宋体" w:hAnsi="宋体" w:eastAsia="宋体" w:cs="宋体"/>
          <w:sz w:val="24"/>
          <w:u w:val="single"/>
        </w:rPr>
        <w:t xml:space="preserve">        </w:t>
      </w:r>
    </w:p>
    <w:p>
      <w:pPr>
        <w:pStyle w:val="2"/>
        <w:keepNext w:val="0"/>
        <w:keepLines w:val="0"/>
        <w:numPr>
          <w:ilvl w:val="0"/>
          <w:numId w:val="0"/>
        </w:numPr>
        <w:tabs>
          <w:tab w:val="left" w:pos="540"/>
          <w:tab w:val="left" w:pos="720"/>
          <w:tab w:val="left" w:pos="1620"/>
          <w:tab w:val="left" w:pos="2340"/>
        </w:tabs>
        <w:spacing w:before="120" w:after="120"/>
        <w:ind w:left="178"/>
        <w:rPr>
          <w:rFonts w:hint="eastAsia" w:ascii="宋体" w:hAnsi="宋体" w:eastAsia="宋体" w:cs="宋体"/>
        </w:rPr>
      </w:pPr>
      <w:bookmarkStart w:id="1770" w:name="_Toc305331529"/>
      <w:bookmarkStart w:id="1771" w:name="_Toc67418851"/>
      <w:bookmarkStart w:id="1772" w:name="_Toc35656557"/>
      <w:bookmarkStart w:id="1773" w:name="_Toc302636055"/>
      <w:bookmarkStart w:id="1774" w:name="_Toc23099"/>
      <w:r>
        <w:rPr>
          <w:rFonts w:hint="eastAsia" w:ascii="宋体" w:hAnsi="宋体" w:eastAsia="宋体" w:cs="宋体"/>
        </w:rPr>
        <w:t>34 工程担保</w:t>
      </w:r>
      <w:bookmarkEnd w:id="1770"/>
      <w:bookmarkEnd w:id="1771"/>
      <w:bookmarkEnd w:id="1772"/>
      <w:bookmarkEnd w:id="1773"/>
      <w:bookmarkEnd w:id="1774"/>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775" w:name="_Toc305331530"/>
      <w:bookmarkStart w:id="1776" w:name="_Toc302636056"/>
      <w:bookmarkStart w:id="1777" w:name="_Toc6223"/>
      <w:bookmarkStart w:id="1778" w:name="_Toc67418852"/>
      <w:r>
        <w:rPr>
          <w:rFonts w:hint="eastAsia" w:ascii="宋体" w:hAnsi="宋体" w:eastAsia="宋体" w:cs="宋体"/>
          <w:sz w:val="24"/>
        </w:rPr>
        <w:t>34.1 履约担保</w:t>
      </w:r>
      <w:bookmarkEnd w:id="1775"/>
      <w:bookmarkEnd w:id="1776"/>
      <w:bookmarkEnd w:id="1777"/>
      <w:bookmarkEnd w:id="1778"/>
      <w:r>
        <w:rPr>
          <w:rFonts w:hint="eastAsia" w:ascii="宋体" w:hAnsi="宋体" w:eastAsia="宋体" w:cs="宋体"/>
          <w:sz w:val="24"/>
        </w:rPr>
        <w:t xml:space="preserve"> </w:t>
      </w:r>
    </w:p>
    <w:p>
      <w:pPr>
        <w:spacing w:line="360" w:lineRule="auto"/>
        <w:ind w:firstLine="480"/>
        <w:rPr>
          <w:rFonts w:hint="eastAsia" w:ascii="宋体" w:hAnsi="宋体" w:eastAsia="宋体" w:cs="宋体"/>
          <w:sz w:val="24"/>
          <w:u w:val="single"/>
        </w:rPr>
      </w:pPr>
      <w:r>
        <w:rPr>
          <w:rFonts w:hint="eastAsia" w:ascii="宋体" w:hAnsi="宋体" w:eastAsia="宋体" w:cs="宋体"/>
          <w:sz w:val="24"/>
        </w:rPr>
        <w:t>(1)本工程履约担保应采用</w:t>
      </w:r>
      <w:r>
        <w:rPr>
          <w:rFonts w:hint="eastAsia" w:ascii="宋体" w:hAnsi="宋体" w:eastAsia="宋体" w:cs="宋体"/>
          <w:sz w:val="24"/>
          <w:u w:val="single"/>
        </w:rPr>
        <w:t xml:space="preserve">          </w:t>
      </w:r>
      <w:r>
        <w:rPr>
          <w:rFonts w:hint="eastAsia" w:ascii="宋体" w:hAnsi="宋体" w:eastAsia="宋体" w:cs="宋体"/>
          <w:sz w:val="24"/>
        </w:rPr>
        <w:t>的形式，金额为：</w:t>
      </w:r>
      <w:r>
        <w:rPr>
          <w:rFonts w:hint="eastAsia" w:ascii="宋体" w:hAnsi="宋体" w:eastAsia="宋体" w:cs="宋体"/>
          <w:sz w:val="24"/>
          <w:u w:val="single"/>
        </w:rPr>
        <w:t xml:space="preserve">                           </w:t>
      </w:r>
      <w:r>
        <w:rPr>
          <w:rFonts w:hint="eastAsia" w:ascii="宋体" w:hAnsi="宋体" w:eastAsia="宋体" w:cs="宋体"/>
          <w:sz w:val="24"/>
        </w:rPr>
        <w:t xml:space="preserve"> </w:t>
      </w:r>
    </w:p>
    <w:p>
      <w:pPr>
        <w:spacing w:line="360" w:lineRule="auto"/>
        <w:rPr>
          <w:rFonts w:hint="eastAsia" w:ascii="宋体" w:hAnsi="宋体" w:eastAsia="宋体" w:cs="宋体"/>
          <w:sz w:val="24"/>
          <w:u w:val="single"/>
        </w:rPr>
      </w:pPr>
      <w:r>
        <w:rPr>
          <w:rFonts w:hint="eastAsia" w:ascii="宋体" w:hAnsi="宋体" w:eastAsia="宋体" w:cs="宋体"/>
          <w:sz w:val="24"/>
          <w:u w:val="single"/>
        </w:rPr>
        <w:t xml:space="preserve">                                                                            </w:t>
      </w:r>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779" w:name="_Toc67418853"/>
      <w:bookmarkStart w:id="1780" w:name="_Toc305331531"/>
      <w:bookmarkStart w:id="1781" w:name="_Toc302636057"/>
      <w:bookmarkStart w:id="1782" w:name="_Toc30766"/>
      <w:r>
        <w:rPr>
          <w:rFonts w:hint="eastAsia" w:ascii="宋体" w:hAnsi="宋体" w:eastAsia="宋体" w:cs="宋体"/>
          <w:sz w:val="24"/>
        </w:rPr>
        <w:t>34.2 支付担保</w:t>
      </w:r>
      <w:bookmarkEnd w:id="1779"/>
      <w:bookmarkEnd w:id="1780"/>
      <w:bookmarkEnd w:id="1781"/>
      <w:bookmarkEnd w:id="1782"/>
      <w:r>
        <w:rPr>
          <w:rFonts w:hint="eastAsia" w:ascii="宋体" w:hAnsi="宋体" w:eastAsia="宋体" w:cs="宋体"/>
          <w:sz w:val="24"/>
        </w:rPr>
        <w:t xml:space="preserve"> </w:t>
      </w:r>
    </w:p>
    <w:p>
      <w:pPr>
        <w:spacing w:line="360" w:lineRule="auto"/>
        <w:ind w:firstLine="480"/>
        <w:rPr>
          <w:rFonts w:hint="eastAsia" w:ascii="宋体" w:hAnsi="宋体" w:eastAsia="宋体" w:cs="宋体"/>
          <w:sz w:val="24"/>
          <w:u w:val="single"/>
        </w:rPr>
      </w:pPr>
      <w:r>
        <w:rPr>
          <w:rFonts w:hint="eastAsia" w:ascii="宋体" w:hAnsi="宋体" w:eastAsia="宋体" w:cs="宋体"/>
          <w:sz w:val="24"/>
        </w:rPr>
        <w:t>(1)本工程支付担保应采用</w:t>
      </w:r>
      <w:r>
        <w:rPr>
          <w:rFonts w:hint="eastAsia" w:ascii="宋体" w:hAnsi="宋体" w:eastAsia="宋体" w:cs="宋体"/>
          <w:sz w:val="24"/>
          <w:u w:val="single"/>
        </w:rPr>
        <w:t xml:space="preserve">          </w:t>
      </w:r>
      <w:r>
        <w:rPr>
          <w:rFonts w:hint="eastAsia" w:ascii="宋体" w:hAnsi="宋体" w:eastAsia="宋体" w:cs="宋体"/>
          <w:sz w:val="24"/>
        </w:rPr>
        <w:t>的形式，金额为：</w:t>
      </w:r>
      <w:r>
        <w:rPr>
          <w:rFonts w:hint="eastAsia" w:ascii="宋体" w:hAnsi="宋体" w:eastAsia="宋体" w:cs="宋体"/>
          <w:sz w:val="24"/>
          <w:u w:val="single"/>
        </w:rPr>
        <w:t xml:space="preserve">                           </w:t>
      </w:r>
      <w:r>
        <w:rPr>
          <w:rFonts w:hint="eastAsia" w:ascii="宋体" w:hAnsi="宋体" w:eastAsia="宋体" w:cs="宋体"/>
          <w:sz w:val="24"/>
        </w:rPr>
        <w:t xml:space="preserve"> </w:t>
      </w:r>
    </w:p>
    <w:p>
      <w:pPr>
        <w:spacing w:line="360" w:lineRule="auto"/>
        <w:rPr>
          <w:rFonts w:hint="eastAsia" w:ascii="宋体" w:hAnsi="宋体" w:eastAsia="宋体" w:cs="宋体"/>
          <w:sz w:val="24"/>
          <w:u w:val="single"/>
        </w:rPr>
      </w:pPr>
      <w:r>
        <w:rPr>
          <w:rFonts w:hint="eastAsia" w:ascii="宋体" w:hAnsi="宋体" w:eastAsia="宋体" w:cs="宋体"/>
          <w:sz w:val="24"/>
          <w:u w:val="single"/>
        </w:rPr>
        <w:t xml:space="preserve">                                                                            </w:t>
      </w:r>
    </w:p>
    <w:p>
      <w:pPr>
        <w:pStyle w:val="2"/>
        <w:keepNext w:val="0"/>
        <w:keepLines w:val="0"/>
        <w:numPr>
          <w:ilvl w:val="0"/>
          <w:numId w:val="0"/>
        </w:numPr>
        <w:tabs>
          <w:tab w:val="left" w:pos="540"/>
          <w:tab w:val="left" w:pos="720"/>
          <w:tab w:val="left" w:pos="1620"/>
          <w:tab w:val="left" w:pos="2340"/>
        </w:tabs>
        <w:spacing w:before="120" w:after="120"/>
        <w:ind w:left="178"/>
        <w:rPr>
          <w:rFonts w:hint="eastAsia" w:ascii="宋体" w:hAnsi="宋体" w:eastAsia="宋体" w:cs="宋体"/>
        </w:rPr>
      </w:pPr>
      <w:bookmarkStart w:id="1783" w:name="_Toc22577"/>
      <w:bookmarkStart w:id="1784" w:name="_Toc35656559"/>
      <w:bookmarkStart w:id="1785" w:name="_Toc305331532"/>
      <w:bookmarkStart w:id="1786" w:name="_Toc302636058"/>
      <w:bookmarkStart w:id="1787" w:name="_Toc67418854"/>
      <w:r>
        <w:rPr>
          <w:rFonts w:hint="eastAsia" w:ascii="宋体" w:hAnsi="宋体" w:eastAsia="宋体" w:cs="宋体"/>
        </w:rPr>
        <w:t>36 合同份数</w:t>
      </w:r>
      <w:bookmarkEnd w:id="1783"/>
      <w:bookmarkEnd w:id="1784"/>
      <w:bookmarkEnd w:id="1785"/>
      <w:bookmarkEnd w:id="1786"/>
      <w:bookmarkEnd w:id="1787"/>
    </w:p>
    <w:p>
      <w:pPr>
        <w:pStyle w:val="3"/>
        <w:numPr>
          <w:ilvl w:val="0"/>
          <w:numId w:val="0"/>
        </w:numPr>
        <w:tabs>
          <w:tab w:val="left" w:pos="540"/>
          <w:tab w:val="left" w:pos="900"/>
          <w:tab w:val="left" w:pos="2340"/>
          <w:tab w:val="left" w:pos="4032"/>
        </w:tabs>
        <w:spacing w:before="120" w:after="156"/>
        <w:ind w:left="359"/>
        <w:jc w:val="left"/>
        <w:rPr>
          <w:rFonts w:hint="eastAsia" w:ascii="宋体" w:hAnsi="宋体" w:eastAsia="宋体" w:cs="宋体"/>
          <w:sz w:val="24"/>
        </w:rPr>
      </w:pPr>
      <w:bookmarkStart w:id="1788" w:name="_Toc67418855"/>
      <w:bookmarkStart w:id="1789" w:name="_Toc3960"/>
      <w:bookmarkStart w:id="1790" w:name="_Toc302636059"/>
      <w:bookmarkStart w:id="1791" w:name="_Toc305331533"/>
      <w:r>
        <w:rPr>
          <w:rFonts w:hint="eastAsia" w:ascii="宋体" w:hAnsi="宋体" w:eastAsia="宋体" w:cs="宋体"/>
          <w:sz w:val="24"/>
        </w:rPr>
        <w:t>36.1 合同份数</w:t>
      </w:r>
      <w:bookmarkEnd w:id="1788"/>
      <w:bookmarkEnd w:id="1789"/>
      <w:bookmarkEnd w:id="1790"/>
      <w:bookmarkEnd w:id="1791"/>
    </w:p>
    <w:p>
      <w:pPr>
        <w:spacing w:line="360" w:lineRule="auto"/>
        <w:ind w:firstLine="480"/>
        <w:rPr>
          <w:rFonts w:hint="eastAsia" w:ascii="宋体" w:hAnsi="宋体" w:eastAsia="宋体" w:cs="宋体"/>
          <w:sz w:val="24"/>
        </w:rPr>
      </w:pPr>
      <w:r>
        <w:rPr>
          <w:rFonts w:hint="eastAsia" w:ascii="宋体" w:hAnsi="宋体" w:eastAsia="宋体" w:cs="宋体"/>
          <w:sz w:val="24"/>
        </w:rPr>
        <w:t>(2)合同副本份数：</w:t>
      </w:r>
      <w:r>
        <w:rPr>
          <w:rFonts w:hint="eastAsia" w:ascii="宋体" w:hAnsi="宋体" w:eastAsia="宋体" w:cs="宋体"/>
          <w:sz w:val="24"/>
          <w:u w:val="single"/>
        </w:rPr>
        <w:t xml:space="preserve">       </w:t>
      </w:r>
      <w:r>
        <w:rPr>
          <w:rFonts w:hint="eastAsia" w:ascii="宋体" w:hAnsi="宋体" w:eastAsia="宋体" w:cs="宋体"/>
          <w:sz w:val="24"/>
        </w:rPr>
        <w:t>份，其中发包人：</w:t>
      </w:r>
      <w:r>
        <w:rPr>
          <w:rFonts w:hint="eastAsia" w:ascii="宋体" w:hAnsi="宋体" w:eastAsia="宋体" w:cs="宋体"/>
          <w:sz w:val="24"/>
          <w:u w:val="single"/>
        </w:rPr>
        <w:t xml:space="preserve">       </w:t>
      </w:r>
      <w:r>
        <w:rPr>
          <w:rFonts w:hint="eastAsia" w:ascii="宋体" w:hAnsi="宋体" w:eastAsia="宋体" w:cs="宋体"/>
          <w:sz w:val="24"/>
        </w:rPr>
        <w:t>份，承包人：</w:t>
      </w:r>
      <w:r>
        <w:rPr>
          <w:rFonts w:hint="eastAsia" w:ascii="宋体" w:hAnsi="宋体" w:eastAsia="宋体" w:cs="宋体"/>
          <w:sz w:val="24"/>
          <w:u w:val="single"/>
        </w:rPr>
        <w:t xml:space="preserve">      </w:t>
      </w:r>
      <w:r>
        <w:rPr>
          <w:rFonts w:hint="eastAsia" w:ascii="宋体" w:hAnsi="宋体" w:eastAsia="宋体" w:cs="宋体"/>
          <w:sz w:val="24"/>
        </w:rPr>
        <w:t>份。</w:t>
      </w:r>
    </w:p>
    <w:p>
      <w:pPr>
        <w:spacing w:line="360" w:lineRule="auto"/>
        <w:ind w:firstLine="480"/>
        <w:rPr>
          <w:rFonts w:hint="eastAsia" w:ascii="宋体" w:hAnsi="宋体" w:eastAsia="宋体" w:cs="宋体"/>
          <w:sz w:val="24"/>
        </w:rPr>
      </w:pPr>
      <w:r>
        <w:rPr>
          <w:rFonts w:hint="eastAsia" w:ascii="宋体" w:hAnsi="宋体" w:eastAsia="宋体" w:cs="宋体"/>
          <w:sz w:val="24"/>
        </w:rPr>
        <w:t>合同副本其它保存单位及份数：</w:t>
      </w:r>
      <w:r>
        <w:rPr>
          <w:rFonts w:hint="eastAsia" w:ascii="宋体" w:hAnsi="宋体" w:eastAsia="宋体" w:cs="宋体"/>
          <w:sz w:val="24"/>
          <w:u w:val="single"/>
        </w:rPr>
        <w:t xml:space="preserve">                          </w:t>
      </w:r>
      <w:r>
        <w:rPr>
          <w:rFonts w:hint="eastAsia" w:ascii="宋体" w:hAnsi="宋体" w:eastAsia="宋体" w:cs="宋体"/>
          <w:sz w:val="24"/>
        </w:rPr>
        <w:t>保存</w:t>
      </w:r>
      <w:r>
        <w:rPr>
          <w:rFonts w:hint="eastAsia" w:ascii="宋体" w:hAnsi="宋体" w:eastAsia="宋体" w:cs="宋体"/>
          <w:sz w:val="24"/>
          <w:u w:val="single"/>
        </w:rPr>
        <w:t xml:space="preserve">      </w:t>
      </w:r>
      <w:r>
        <w:rPr>
          <w:rFonts w:hint="eastAsia" w:ascii="宋体" w:hAnsi="宋体" w:eastAsia="宋体" w:cs="宋体"/>
          <w:sz w:val="24"/>
        </w:rPr>
        <w:t xml:space="preserve">份。                                  </w:t>
      </w:r>
    </w:p>
    <w:p>
      <w:pPr>
        <w:pStyle w:val="2"/>
        <w:keepNext w:val="0"/>
        <w:numPr>
          <w:ilvl w:val="0"/>
          <w:numId w:val="0"/>
        </w:numPr>
        <w:jc w:val="center"/>
        <w:rPr>
          <w:rFonts w:hint="eastAsia" w:ascii="宋体" w:hAnsi="宋体" w:eastAsia="宋体" w:cs="宋体"/>
          <w:sz w:val="32"/>
        </w:rPr>
      </w:pPr>
      <w:bookmarkStart w:id="1792" w:name="_Toc35656560"/>
      <w:r>
        <w:rPr>
          <w:rFonts w:hint="eastAsia" w:ascii="宋体" w:hAnsi="宋体" w:eastAsia="宋体" w:cs="宋体"/>
          <w:b w:val="0"/>
          <w:sz w:val="32"/>
          <w:szCs w:val="32"/>
        </w:rPr>
        <w:br w:type="page"/>
      </w:r>
      <w:bookmarkStart w:id="1793" w:name="_Toc67418856"/>
      <w:bookmarkStart w:id="1794" w:name="_Toc8480"/>
      <w:bookmarkStart w:id="1795" w:name="_Toc302636060"/>
      <w:bookmarkStart w:id="1796" w:name="_Toc305331534"/>
      <w:r>
        <w:rPr>
          <w:rFonts w:hint="eastAsia" w:ascii="宋体" w:hAnsi="宋体" w:eastAsia="宋体" w:cs="宋体"/>
          <w:sz w:val="32"/>
          <w:szCs w:val="32"/>
        </w:rPr>
        <w:t xml:space="preserve">第四部分 </w:t>
      </w:r>
      <w:r>
        <w:rPr>
          <w:rFonts w:hint="eastAsia" w:ascii="宋体" w:hAnsi="宋体" w:eastAsia="宋体" w:cs="宋体"/>
          <w:sz w:val="32"/>
        </w:rPr>
        <w:t>补充条款</w:t>
      </w:r>
      <w:bookmarkEnd w:id="1282"/>
      <w:bookmarkEnd w:id="1792"/>
      <w:bookmarkEnd w:id="1793"/>
      <w:bookmarkEnd w:id="1794"/>
      <w:bookmarkEnd w:id="1795"/>
      <w:bookmarkEnd w:id="1796"/>
    </w:p>
    <w:p>
      <w:pPr>
        <w:rPr>
          <w:rFonts w:hint="eastAsia" w:ascii="宋体" w:hAnsi="宋体" w:eastAsia="宋体" w:cs="宋体"/>
        </w:rPr>
      </w:pPr>
    </w:p>
    <w:p>
      <w:pPr>
        <w:pStyle w:val="19"/>
        <w:snapToGrid w:val="0"/>
        <w:spacing w:line="346" w:lineRule="auto"/>
        <w:rPr>
          <w:rFonts w:hint="eastAsia" w:ascii="黑体" w:hAnsi="黑体" w:eastAsia="黑体" w:cs="黑体"/>
          <w:b/>
          <w:sz w:val="32"/>
          <w:szCs w:val="32"/>
          <w:highlight w:val="none"/>
        </w:rPr>
      </w:pPr>
      <w:r>
        <w:rPr>
          <w:rFonts w:hint="eastAsia" w:ascii="黑体" w:hAnsi="黑体" w:eastAsia="黑体" w:cs="黑体"/>
          <w:b/>
          <w:sz w:val="32"/>
          <w:szCs w:val="32"/>
          <w:highlight w:val="none"/>
        </w:rPr>
        <w:br w:type="page"/>
      </w:r>
    </w:p>
    <w:p>
      <w:pPr>
        <w:adjustRightInd w:val="0"/>
        <w:snapToGrid w:val="0"/>
        <w:spacing w:line="360" w:lineRule="auto"/>
        <w:jc w:val="center"/>
        <w:outlineLvl w:val="0"/>
        <w:rPr>
          <w:rFonts w:hint="eastAsia" w:ascii="黑体" w:hAnsi="黑体" w:eastAsia="黑体" w:cs="黑体"/>
          <w:b/>
          <w:sz w:val="32"/>
          <w:szCs w:val="32"/>
          <w:highlight w:val="yellow"/>
        </w:rPr>
      </w:pPr>
      <w:bookmarkStart w:id="1797" w:name="_Toc15690"/>
      <w:r>
        <w:rPr>
          <w:rFonts w:hint="eastAsia" w:ascii="黑体" w:hAnsi="黑体" w:eastAsia="黑体" w:cs="黑体"/>
          <w:b/>
          <w:sz w:val="32"/>
          <w:szCs w:val="32"/>
          <w:highlight w:val="yellow"/>
        </w:rPr>
        <w:t>第五章  合同</w:t>
      </w:r>
      <w:r>
        <w:rPr>
          <w:rFonts w:hint="eastAsia" w:ascii="黑体" w:hAnsi="黑体" w:eastAsia="黑体" w:cs="黑体"/>
          <w:b/>
          <w:sz w:val="32"/>
          <w:szCs w:val="32"/>
          <w:highlight w:val="yellow"/>
          <w:lang w:val="en-US" w:eastAsia="zh-CN"/>
        </w:rPr>
        <w:t>附件</w:t>
      </w:r>
      <w:r>
        <w:rPr>
          <w:rFonts w:hint="eastAsia" w:ascii="黑体" w:hAnsi="黑体" w:eastAsia="黑体" w:cs="黑体"/>
          <w:b/>
          <w:sz w:val="32"/>
          <w:szCs w:val="32"/>
          <w:highlight w:val="yellow"/>
        </w:rPr>
        <w:t>格式</w:t>
      </w:r>
      <w:bookmarkEnd w:id="1797"/>
    </w:p>
    <w:p>
      <w:pPr>
        <w:spacing w:line="360" w:lineRule="auto"/>
        <w:rPr>
          <w:rFonts w:hint="eastAsia" w:ascii="宋体" w:hAnsi="宋体" w:eastAsia="宋体" w:cs="宋体"/>
          <w:b/>
          <w:sz w:val="24"/>
        </w:rPr>
      </w:pPr>
      <w:r>
        <w:rPr>
          <w:rFonts w:hint="eastAsia" w:ascii="宋体" w:hAnsi="宋体" w:eastAsia="宋体" w:cs="宋体"/>
          <w:b/>
          <w:sz w:val="24"/>
        </w:rPr>
        <w:t>附件：</w:t>
      </w:r>
    </w:p>
    <w:p>
      <w:pPr>
        <w:pStyle w:val="2"/>
        <w:keepNext w:val="0"/>
        <w:keepLines w:val="0"/>
        <w:numPr>
          <w:ilvl w:val="0"/>
          <w:numId w:val="0"/>
        </w:numPr>
        <w:spacing w:before="120" w:after="120"/>
        <w:jc w:val="center"/>
        <w:rPr>
          <w:rFonts w:hint="eastAsia" w:ascii="宋体" w:hAnsi="宋体" w:eastAsia="宋体" w:cs="宋体"/>
          <w:bCs w:val="0"/>
          <w:sz w:val="32"/>
          <w:szCs w:val="32"/>
        </w:rPr>
      </w:pPr>
      <w:bookmarkStart w:id="1798" w:name="_Toc67418424"/>
      <w:bookmarkStart w:id="1799" w:name="_Toc19807"/>
      <w:bookmarkStart w:id="1800" w:name="_Toc302636061"/>
      <w:bookmarkStart w:id="1801" w:name="_Toc67327371"/>
      <w:bookmarkStart w:id="1802" w:name="_Toc453616673"/>
      <w:bookmarkStart w:id="1803" w:name="_Toc67418857"/>
      <w:r>
        <w:rPr>
          <w:rFonts w:hint="eastAsia" w:ascii="宋体" w:hAnsi="宋体" w:eastAsia="宋体" w:cs="宋体"/>
          <w:bCs w:val="0"/>
          <w:sz w:val="32"/>
          <w:szCs w:val="32"/>
        </w:rPr>
        <w:t>工程质量保修书</w:t>
      </w:r>
      <w:bookmarkEnd w:id="1798"/>
      <w:bookmarkEnd w:id="1799"/>
      <w:bookmarkEnd w:id="1800"/>
      <w:bookmarkEnd w:id="1801"/>
      <w:bookmarkEnd w:id="1802"/>
      <w:bookmarkEnd w:id="1803"/>
    </w:p>
    <w:p>
      <w:pPr>
        <w:spacing w:line="360" w:lineRule="auto"/>
        <w:rPr>
          <w:rFonts w:hint="eastAsia" w:ascii="宋体" w:hAnsi="宋体" w:eastAsia="宋体" w:cs="宋体"/>
          <w:sz w:val="24"/>
        </w:rPr>
      </w:pPr>
    </w:p>
    <w:p>
      <w:pPr>
        <w:spacing w:line="360" w:lineRule="auto"/>
        <w:rPr>
          <w:rFonts w:hint="eastAsia" w:ascii="宋体" w:hAnsi="宋体" w:eastAsia="宋体" w:cs="宋体"/>
          <w:sz w:val="24"/>
        </w:rPr>
      </w:pPr>
      <w:r>
        <w:rPr>
          <w:rFonts w:hint="eastAsia" w:ascii="宋体" w:hAnsi="宋体" w:eastAsia="宋体" w:cs="宋体"/>
          <w:sz w:val="24"/>
        </w:rPr>
        <w:t>发包人(全称)：</w:t>
      </w:r>
      <w:r>
        <w:rPr>
          <w:rFonts w:hint="eastAsia" w:ascii="宋体" w:hAnsi="宋体" w:eastAsia="宋体" w:cs="宋体"/>
          <w:b/>
          <w:sz w:val="24"/>
          <w:u w:val="single"/>
        </w:rPr>
        <w:t xml:space="preserve">                                </w:t>
      </w:r>
    </w:p>
    <w:p>
      <w:pPr>
        <w:spacing w:line="360" w:lineRule="auto"/>
        <w:rPr>
          <w:rFonts w:hint="eastAsia" w:ascii="宋体" w:hAnsi="宋体" w:eastAsia="宋体" w:cs="宋体"/>
          <w:sz w:val="24"/>
        </w:rPr>
      </w:pPr>
      <w:r>
        <w:rPr>
          <w:rFonts w:hint="eastAsia" w:ascii="宋体" w:hAnsi="宋体" w:eastAsia="宋体" w:cs="宋体"/>
          <w:sz w:val="24"/>
        </w:rPr>
        <w:t>承包人(全称)：</w:t>
      </w:r>
      <w:r>
        <w:rPr>
          <w:rFonts w:hint="eastAsia" w:ascii="宋体" w:hAnsi="宋体" w:eastAsia="宋体" w:cs="宋体"/>
          <w:sz w:val="24"/>
          <w:u w:val="single"/>
        </w:rPr>
        <w:t xml:space="preserve">                                </w:t>
      </w:r>
    </w:p>
    <w:p>
      <w:pPr>
        <w:spacing w:line="360" w:lineRule="auto"/>
        <w:ind w:firstLine="480"/>
        <w:rPr>
          <w:rFonts w:hint="eastAsia" w:ascii="宋体" w:hAnsi="宋体" w:eastAsia="宋体" w:cs="宋体"/>
          <w:sz w:val="24"/>
        </w:rPr>
      </w:pPr>
      <w:r>
        <w:rPr>
          <w:rFonts w:hint="eastAsia" w:ascii="宋体" w:hAnsi="宋体" w:eastAsia="宋体" w:cs="宋体"/>
          <w:sz w:val="24"/>
        </w:rPr>
        <w:t>为保证</w:t>
      </w:r>
      <w:r>
        <w:rPr>
          <w:rFonts w:hint="eastAsia" w:ascii="宋体" w:hAnsi="宋体" w:eastAsia="宋体" w:cs="宋体"/>
          <w:sz w:val="24"/>
          <w:u w:val="single"/>
        </w:rPr>
        <w:t xml:space="preserve">                              </w:t>
      </w:r>
      <w:r>
        <w:rPr>
          <w:rFonts w:hint="eastAsia" w:ascii="宋体" w:hAnsi="宋体" w:eastAsia="宋体" w:cs="宋体"/>
          <w:sz w:val="24"/>
        </w:rPr>
        <w:t>(工程名称)在合理使用期限内正常使用，发包人和承包人根据《中华人民共和国建筑法》、《建设工程质量管理条例》、《深圳特区建设工程质量管理条例》，经协商一致，签订工程质量保修书。承包人在质量保修期内按照有关规定及双方约定承担工程质量保修责任。</w:t>
      </w:r>
    </w:p>
    <w:p>
      <w:pPr>
        <w:spacing w:line="360" w:lineRule="auto"/>
        <w:ind w:firstLine="606"/>
        <w:outlineLvl w:val="0"/>
        <w:rPr>
          <w:rFonts w:hint="eastAsia" w:ascii="宋体" w:hAnsi="宋体" w:eastAsia="宋体" w:cs="宋体"/>
          <w:b/>
          <w:sz w:val="28"/>
        </w:rPr>
      </w:pPr>
      <w:bookmarkStart w:id="1804" w:name="_Toc67418858"/>
      <w:bookmarkStart w:id="1805" w:name="_Toc448494344"/>
      <w:bookmarkStart w:id="1806" w:name="_Toc492905339"/>
      <w:bookmarkStart w:id="1807" w:name="_Toc448841341"/>
      <w:bookmarkStart w:id="1808" w:name="_Toc67327372"/>
      <w:bookmarkStart w:id="1809" w:name="_Toc19953"/>
      <w:bookmarkStart w:id="1810" w:name="_Toc453616674"/>
      <w:bookmarkStart w:id="1811" w:name="_Toc67418425"/>
      <w:r>
        <w:rPr>
          <w:rFonts w:hint="eastAsia" w:ascii="宋体" w:hAnsi="宋体" w:eastAsia="宋体" w:cs="宋体"/>
          <w:b/>
          <w:sz w:val="28"/>
        </w:rPr>
        <w:t>一、工程质量保修范围</w:t>
      </w:r>
      <w:bookmarkEnd w:id="1804"/>
      <w:bookmarkEnd w:id="1805"/>
      <w:bookmarkEnd w:id="1806"/>
      <w:bookmarkEnd w:id="1807"/>
      <w:bookmarkEnd w:id="1808"/>
      <w:bookmarkEnd w:id="1809"/>
      <w:bookmarkEnd w:id="1810"/>
      <w:bookmarkEnd w:id="1811"/>
    </w:p>
    <w:p>
      <w:pPr>
        <w:spacing w:line="360" w:lineRule="auto"/>
        <w:ind w:firstLine="480"/>
        <w:rPr>
          <w:rFonts w:hint="eastAsia" w:ascii="宋体" w:hAnsi="宋体" w:eastAsia="宋体" w:cs="宋体"/>
          <w:sz w:val="24"/>
        </w:rPr>
      </w:pPr>
      <w:r>
        <w:rPr>
          <w:rFonts w:hint="eastAsia" w:ascii="宋体" w:hAnsi="宋体" w:eastAsia="宋体" w:cs="宋体"/>
          <w:sz w:val="24"/>
        </w:rPr>
        <w:t>质量保修范围包括地基基础工程、主体结构工程、屋面防水工程、有防水要求的卫生间/房间和外墙面的防渗漏工程、电气管线工程、给排水管道工程、设备安装工程、供热和供冷系统工程、装饰装修工程以及双方约定的其他项目。</w:t>
      </w:r>
    </w:p>
    <w:p>
      <w:pPr>
        <w:spacing w:line="360" w:lineRule="auto"/>
        <w:rPr>
          <w:rFonts w:hint="eastAsia" w:ascii="宋体" w:hAnsi="宋体" w:eastAsia="宋体" w:cs="宋体"/>
          <w:sz w:val="24"/>
          <w:u w:val="single"/>
        </w:rPr>
      </w:pPr>
      <w:r>
        <w:rPr>
          <w:rFonts w:hint="eastAsia" w:ascii="宋体" w:hAnsi="宋体" w:eastAsia="宋体" w:cs="宋体"/>
          <w:sz w:val="24"/>
        </w:rPr>
        <w:t>具体质量保修范围，双方约定如下：</w:t>
      </w:r>
      <w:r>
        <w:rPr>
          <w:rFonts w:hint="eastAsia" w:ascii="宋体" w:hAnsi="宋体" w:eastAsia="宋体" w:cs="宋体"/>
          <w:sz w:val="24"/>
          <w:u w:val="single"/>
        </w:rPr>
        <w:t xml:space="preserve">                                   </w:t>
      </w:r>
    </w:p>
    <w:p>
      <w:pPr>
        <w:spacing w:line="360" w:lineRule="auto"/>
        <w:rPr>
          <w:rFonts w:hint="eastAsia" w:ascii="宋体" w:hAnsi="宋体" w:eastAsia="宋体" w:cs="宋体"/>
          <w:sz w:val="24"/>
        </w:rPr>
      </w:pPr>
      <w:r>
        <w:rPr>
          <w:rFonts w:hint="eastAsia" w:ascii="宋体" w:hAnsi="宋体" w:eastAsia="宋体" w:cs="宋体"/>
          <w:sz w:val="24"/>
          <w:u w:val="single"/>
        </w:rPr>
        <w:t xml:space="preserve">                                                                       </w:t>
      </w:r>
    </w:p>
    <w:p>
      <w:pPr>
        <w:spacing w:line="360" w:lineRule="auto"/>
        <w:rPr>
          <w:rFonts w:hint="eastAsia" w:ascii="宋体" w:hAnsi="宋体" w:eastAsia="宋体" w:cs="宋体"/>
          <w:sz w:val="24"/>
        </w:rPr>
      </w:pPr>
      <w:r>
        <w:rPr>
          <w:rFonts w:hint="eastAsia" w:ascii="宋体" w:hAnsi="宋体" w:eastAsia="宋体" w:cs="宋体"/>
          <w:sz w:val="24"/>
          <w:u w:val="single"/>
        </w:rPr>
        <w:t xml:space="preserve">                                                                       </w:t>
      </w:r>
    </w:p>
    <w:p>
      <w:pPr>
        <w:spacing w:line="360" w:lineRule="auto"/>
        <w:rPr>
          <w:rFonts w:hint="eastAsia" w:ascii="宋体" w:hAnsi="宋体" w:eastAsia="宋体" w:cs="宋体"/>
          <w:sz w:val="24"/>
        </w:rPr>
      </w:pPr>
      <w:r>
        <w:rPr>
          <w:rFonts w:hint="eastAsia" w:ascii="宋体" w:hAnsi="宋体" w:eastAsia="宋体" w:cs="宋体"/>
          <w:sz w:val="24"/>
          <w:u w:val="single"/>
        </w:rPr>
        <w:t xml:space="preserve">                                                                       </w:t>
      </w:r>
    </w:p>
    <w:p>
      <w:pPr>
        <w:spacing w:line="360" w:lineRule="auto"/>
        <w:rPr>
          <w:rFonts w:hint="eastAsia" w:ascii="宋体" w:hAnsi="宋体" w:eastAsia="宋体" w:cs="宋体"/>
          <w:sz w:val="24"/>
        </w:rPr>
      </w:pPr>
      <w:r>
        <w:rPr>
          <w:rFonts w:hint="eastAsia" w:ascii="宋体" w:hAnsi="宋体" w:eastAsia="宋体" w:cs="宋体"/>
          <w:sz w:val="24"/>
          <w:u w:val="single"/>
        </w:rPr>
        <w:t xml:space="preserve">                                                                       </w:t>
      </w:r>
    </w:p>
    <w:p>
      <w:pPr>
        <w:spacing w:line="360" w:lineRule="auto"/>
        <w:ind w:firstLine="560"/>
        <w:outlineLvl w:val="0"/>
        <w:rPr>
          <w:rFonts w:hint="eastAsia" w:ascii="宋体" w:hAnsi="宋体" w:eastAsia="宋体" w:cs="宋体"/>
          <w:sz w:val="28"/>
        </w:rPr>
      </w:pPr>
      <w:bookmarkStart w:id="1812" w:name="_Toc67327373"/>
      <w:bookmarkStart w:id="1813" w:name="_Toc67418426"/>
      <w:bookmarkStart w:id="1814" w:name="_Toc492905340"/>
      <w:bookmarkStart w:id="1815" w:name="_Toc380"/>
      <w:bookmarkStart w:id="1816" w:name="_Toc67418859"/>
      <w:bookmarkStart w:id="1817" w:name="_Toc448841342"/>
      <w:bookmarkStart w:id="1818" w:name="_Toc448494345"/>
      <w:bookmarkStart w:id="1819" w:name="_Toc453616675"/>
      <w:r>
        <w:rPr>
          <w:rFonts w:hint="eastAsia" w:ascii="宋体" w:hAnsi="宋体" w:eastAsia="宋体" w:cs="宋体"/>
          <w:sz w:val="28"/>
        </w:rPr>
        <w:t>二、工程质量保修期</w:t>
      </w:r>
      <w:bookmarkEnd w:id="1812"/>
      <w:bookmarkEnd w:id="1813"/>
      <w:bookmarkEnd w:id="1814"/>
      <w:bookmarkEnd w:id="1815"/>
      <w:bookmarkEnd w:id="1816"/>
      <w:bookmarkEnd w:id="1817"/>
      <w:bookmarkEnd w:id="1818"/>
      <w:bookmarkEnd w:id="1819"/>
    </w:p>
    <w:p>
      <w:pPr>
        <w:spacing w:line="360" w:lineRule="auto"/>
        <w:ind w:firstLine="480"/>
        <w:rPr>
          <w:rFonts w:hint="eastAsia" w:ascii="宋体" w:hAnsi="宋体" w:eastAsia="宋体" w:cs="宋体"/>
          <w:sz w:val="24"/>
        </w:rPr>
      </w:pPr>
      <w:r>
        <w:rPr>
          <w:rFonts w:hint="eastAsia" w:ascii="宋体" w:hAnsi="宋体" w:eastAsia="宋体" w:cs="宋体"/>
          <w:sz w:val="24"/>
        </w:rPr>
        <w:t>质量保修期从工程实际竣工之日算起。单项竣工验收的工程，按单项工程分别计算质量保修期。</w:t>
      </w:r>
    </w:p>
    <w:p>
      <w:pPr>
        <w:pStyle w:val="19"/>
        <w:snapToGrid w:val="0"/>
        <w:spacing w:line="346" w:lineRule="auto"/>
        <w:ind w:firstLine="480"/>
        <w:rPr>
          <w:rFonts w:hint="eastAsia" w:ascii="宋体" w:hAnsi="宋体" w:eastAsia="宋体" w:cs="宋体"/>
          <w:sz w:val="24"/>
          <w:szCs w:val="24"/>
        </w:rPr>
      </w:pPr>
      <w:r>
        <w:rPr>
          <w:rFonts w:hint="eastAsia" w:ascii="宋体" w:hAnsi="宋体" w:eastAsia="宋体" w:cs="宋体"/>
          <w:sz w:val="24"/>
          <w:szCs w:val="24"/>
        </w:rPr>
        <w:t>双方约定本工程质量保修期如下：</w:t>
      </w:r>
    </w:p>
    <w:p>
      <w:pPr>
        <w:pStyle w:val="19"/>
        <w:snapToGrid w:val="0"/>
        <w:spacing w:line="346" w:lineRule="auto"/>
        <w:ind w:firstLine="396"/>
        <w:rPr>
          <w:rFonts w:hint="eastAsia" w:ascii="宋体" w:hAnsi="宋体" w:eastAsia="宋体" w:cs="宋体"/>
          <w:sz w:val="24"/>
          <w:szCs w:val="24"/>
        </w:rPr>
      </w:pPr>
      <w:r>
        <w:rPr>
          <w:rFonts w:hint="eastAsia" w:ascii="宋体" w:hAnsi="宋体" w:eastAsia="宋体" w:cs="宋体"/>
          <w:sz w:val="24"/>
        </w:rPr>
        <w:drawing>
          <wp:inline distT="0" distB="0" distL="114300" distR="114300">
            <wp:extent cx="152400" cy="142875"/>
            <wp:effectExtent l="0" t="0" r="0" b="9525"/>
            <wp:docPr id="145"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图片 129"/>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sz w:val="24"/>
          <w:szCs w:val="24"/>
        </w:rPr>
        <w:t>地基基础工程、主体结构工程为设计文件规定的合理使用年限；</w:t>
      </w:r>
    </w:p>
    <w:p>
      <w:pPr>
        <w:pStyle w:val="19"/>
        <w:snapToGrid w:val="0"/>
        <w:spacing w:line="346" w:lineRule="auto"/>
        <w:ind w:firstLine="396"/>
        <w:rPr>
          <w:rFonts w:hint="eastAsia" w:ascii="宋体" w:hAnsi="宋体" w:eastAsia="宋体" w:cs="宋体"/>
          <w:sz w:val="24"/>
          <w:szCs w:val="24"/>
        </w:rPr>
      </w:pPr>
      <w:r>
        <w:rPr>
          <w:rFonts w:hint="eastAsia" w:ascii="宋体" w:hAnsi="宋体" w:eastAsia="宋体" w:cs="宋体"/>
          <w:sz w:val="24"/>
        </w:rPr>
        <w:drawing>
          <wp:inline distT="0" distB="0" distL="114300" distR="114300">
            <wp:extent cx="152400" cy="142875"/>
            <wp:effectExtent l="0" t="0" r="0" b="9525"/>
            <wp:docPr id="135"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图片 130"/>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sz w:val="24"/>
          <w:szCs w:val="24"/>
        </w:rPr>
        <w:t>屋面防水工程、有防水要求的卫生间/房间和外墙面的防渗漏工程为</w:t>
      </w:r>
      <w:r>
        <w:rPr>
          <w:rFonts w:hint="eastAsia" w:ascii="宋体" w:hAnsi="宋体" w:eastAsia="宋体" w:cs="宋体"/>
          <w:sz w:val="24"/>
          <w:u w:val="single"/>
        </w:rPr>
        <w:t xml:space="preserve">     </w:t>
      </w:r>
      <w:r>
        <w:rPr>
          <w:rFonts w:hint="eastAsia" w:ascii="宋体" w:hAnsi="宋体" w:eastAsia="宋体" w:cs="宋体"/>
          <w:sz w:val="24"/>
          <w:szCs w:val="24"/>
        </w:rPr>
        <w:t>年(最低为5年)；</w:t>
      </w:r>
    </w:p>
    <w:p>
      <w:pPr>
        <w:pStyle w:val="19"/>
        <w:snapToGrid w:val="0"/>
        <w:spacing w:line="346" w:lineRule="auto"/>
        <w:ind w:firstLine="396"/>
        <w:rPr>
          <w:rFonts w:hint="eastAsia" w:ascii="宋体" w:hAnsi="宋体" w:eastAsia="宋体" w:cs="宋体"/>
          <w:sz w:val="24"/>
          <w:szCs w:val="24"/>
        </w:rPr>
      </w:pPr>
      <w:r>
        <w:rPr>
          <w:rFonts w:hint="eastAsia" w:ascii="宋体" w:hAnsi="宋体" w:eastAsia="宋体" w:cs="宋体"/>
          <w:sz w:val="24"/>
        </w:rPr>
        <w:drawing>
          <wp:inline distT="0" distB="0" distL="114300" distR="114300">
            <wp:extent cx="152400" cy="142875"/>
            <wp:effectExtent l="0" t="0" r="0" b="9525"/>
            <wp:docPr id="136"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图片 131"/>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sz w:val="24"/>
          <w:szCs w:val="24"/>
        </w:rPr>
        <w:t>电气管线工程、给排水管道工程、设备安装工程为</w:t>
      </w:r>
      <w:r>
        <w:rPr>
          <w:rFonts w:hint="eastAsia" w:ascii="宋体" w:hAnsi="宋体" w:eastAsia="宋体" w:cs="宋体"/>
          <w:sz w:val="24"/>
          <w:u w:val="single"/>
        </w:rPr>
        <w:t xml:space="preserve">     </w:t>
      </w:r>
      <w:r>
        <w:rPr>
          <w:rFonts w:hint="eastAsia" w:ascii="宋体" w:hAnsi="宋体" w:eastAsia="宋体" w:cs="宋体"/>
          <w:sz w:val="24"/>
          <w:szCs w:val="24"/>
        </w:rPr>
        <w:t>年(最低为2年)；</w:t>
      </w:r>
    </w:p>
    <w:p>
      <w:pPr>
        <w:pStyle w:val="19"/>
        <w:snapToGrid w:val="0"/>
        <w:spacing w:line="346" w:lineRule="auto"/>
        <w:ind w:firstLine="396"/>
        <w:rPr>
          <w:rFonts w:hint="eastAsia" w:ascii="宋体" w:hAnsi="宋体" w:eastAsia="宋体" w:cs="宋体"/>
          <w:sz w:val="24"/>
          <w:szCs w:val="24"/>
        </w:rPr>
      </w:pPr>
      <w:r>
        <w:rPr>
          <w:rFonts w:hint="eastAsia" w:ascii="宋体" w:hAnsi="宋体" w:eastAsia="宋体" w:cs="宋体"/>
          <w:sz w:val="24"/>
        </w:rPr>
        <w:drawing>
          <wp:inline distT="0" distB="0" distL="114300" distR="114300">
            <wp:extent cx="152400" cy="142875"/>
            <wp:effectExtent l="0" t="0" r="0" b="9525"/>
            <wp:docPr id="137"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132"/>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sz w:val="24"/>
        </w:rPr>
        <w:t>供热和供冷系统工程</w:t>
      </w:r>
      <w:r>
        <w:rPr>
          <w:rFonts w:hint="eastAsia" w:ascii="宋体" w:hAnsi="宋体" w:eastAsia="宋体" w:cs="宋体"/>
          <w:sz w:val="24"/>
          <w:szCs w:val="24"/>
        </w:rPr>
        <w:t>为</w:t>
      </w:r>
      <w:r>
        <w:rPr>
          <w:rFonts w:hint="eastAsia" w:ascii="宋体" w:hAnsi="宋体" w:eastAsia="宋体" w:cs="宋体"/>
          <w:sz w:val="24"/>
          <w:u w:val="single"/>
        </w:rPr>
        <w:t xml:space="preserve">     </w:t>
      </w:r>
      <w:r>
        <w:rPr>
          <w:rFonts w:hint="eastAsia" w:ascii="宋体" w:hAnsi="宋体" w:eastAsia="宋体" w:cs="宋体"/>
          <w:sz w:val="24"/>
          <w:szCs w:val="24"/>
        </w:rPr>
        <w:t>个(最低为2个)采暖期、供冷期；</w:t>
      </w:r>
    </w:p>
    <w:p>
      <w:pPr>
        <w:pStyle w:val="19"/>
        <w:snapToGrid w:val="0"/>
        <w:spacing w:line="346" w:lineRule="auto"/>
        <w:ind w:firstLine="396"/>
        <w:rPr>
          <w:rFonts w:hint="eastAsia" w:ascii="宋体" w:hAnsi="宋体" w:eastAsia="宋体" w:cs="宋体"/>
          <w:sz w:val="24"/>
          <w:szCs w:val="24"/>
        </w:rPr>
      </w:pPr>
      <w:r>
        <w:rPr>
          <w:rFonts w:hint="eastAsia" w:ascii="宋体" w:hAnsi="宋体" w:eastAsia="宋体" w:cs="宋体"/>
          <w:sz w:val="24"/>
        </w:rPr>
        <w:drawing>
          <wp:inline distT="0" distB="0" distL="114300" distR="114300">
            <wp:extent cx="152400" cy="142875"/>
            <wp:effectExtent l="0" t="0" r="0" b="9525"/>
            <wp:docPr id="138"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133"/>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sz w:val="24"/>
        </w:rPr>
        <w:t>装饰装修工程为</w:t>
      </w:r>
      <w:r>
        <w:rPr>
          <w:rFonts w:hint="eastAsia" w:ascii="宋体" w:hAnsi="宋体" w:eastAsia="宋体" w:cs="宋体"/>
          <w:sz w:val="24"/>
          <w:u w:val="single"/>
        </w:rPr>
        <w:t xml:space="preserve">     </w:t>
      </w:r>
      <w:r>
        <w:rPr>
          <w:rFonts w:hint="eastAsia" w:ascii="宋体" w:hAnsi="宋体" w:eastAsia="宋体" w:cs="宋体"/>
          <w:sz w:val="24"/>
        </w:rPr>
        <w:t>年；</w:t>
      </w:r>
    </w:p>
    <w:p>
      <w:pPr>
        <w:pStyle w:val="19"/>
        <w:snapToGrid w:val="0"/>
        <w:spacing w:line="346" w:lineRule="auto"/>
        <w:ind w:firstLine="396"/>
        <w:rPr>
          <w:rFonts w:hint="eastAsia" w:ascii="宋体" w:hAnsi="宋体" w:eastAsia="宋体" w:cs="宋体"/>
          <w:sz w:val="24"/>
          <w:szCs w:val="24"/>
          <w:u w:val="single"/>
        </w:rPr>
      </w:pPr>
      <w:r>
        <w:rPr>
          <w:rFonts w:hint="eastAsia" w:ascii="宋体" w:hAnsi="宋体" w:eastAsia="宋体" w:cs="宋体"/>
          <w:sz w:val="24"/>
        </w:rPr>
        <w:drawing>
          <wp:inline distT="0" distB="0" distL="114300" distR="114300">
            <wp:extent cx="152400" cy="142875"/>
            <wp:effectExtent l="0" t="0" r="0" b="9525"/>
            <wp:docPr id="140"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134"/>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sz w:val="24"/>
        </w:rPr>
        <w:t>其他项目保修期约定：</w:t>
      </w:r>
      <w:r>
        <w:rPr>
          <w:rFonts w:hint="eastAsia" w:ascii="宋体" w:hAnsi="宋体" w:eastAsia="宋体" w:cs="宋体"/>
          <w:sz w:val="24"/>
          <w:u w:val="single"/>
        </w:rPr>
        <w:t xml:space="preserve">       </w:t>
      </w:r>
      <w:r>
        <w:rPr>
          <w:rFonts w:hint="eastAsia" w:ascii="宋体" w:hAnsi="宋体" w:eastAsia="宋体" w:cs="宋体"/>
          <w:sz w:val="24"/>
          <w:szCs w:val="24"/>
          <w:u w:val="single"/>
        </w:rPr>
        <w:t xml:space="preserve">                                        </w:t>
      </w:r>
    </w:p>
    <w:p>
      <w:pPr>
        <w:spacing w:line="360" w:lineRule="auto"/>
        <w:rPr>
          <w:rFonts w:hint="eastAsia" w:ascii="宋体" w:hAnsi="宋体" w:eastAsia="宋体" w:cs="宋体"/>
          <w:sz w:val="24"/>
        </w:rPr>
      </w:pPr>
      <w:r>
        <w:rPr>
          <w:rFonts w:hint="eastAsia" w:ascii="宋体" w:hAnsi="宋体" w:eastAsia="宋体" w:cs="宋体"/>
          <w:sz w:val="24"/>
          <w:u w:val="single"/>
        </w:rPr>
        <w:t xml:space="preserve">                                                                       </w:t>
      </w:r>
    </w:p>
    <w:p>
      <w:pPr>
        <w:spacing w:line="360" w:lineRule="auto"/>
        <w:rPr>
          <w:rFonts w:hint="eastAsia" w:ascii="宋体" w:hAnsi="宋体" w:eastAsia="宋体" w:cs="宋体"/>
          <w:sz w:val="24"/>
        </w:rPr>
      </w:pPr>
      <w:r>
        <w:rPr>
          <w:rFonts w:hint="eastAsia" w:ascii="宋体" w:hAnsi="宋体" w:eastAsia="宋体" w:cs="宋体"/>
          <w:sz w:val="24"/>
          <w:u w:val="single"/>
        </w:rPr>
        <w:t xml:space="preserve">                                                                       </w:t>
      </w:r>
    </w:p>
    <w:p>
      <w:pPr>
        <w:spacing w:line="360" w:lineRule="auto"/>
        <w:rPr>
          <w:rFonts w:hint="eastAsia" w:ascii="宋体" w:hAnsi="宋体" w:eastAsia="宋体" w:cs="宋体"/>
          <w:sz w:val="24"/>
        </w:rPr>
      </w:pPr>
      <w:r>
        <w:rPr>
          <w:rFonts w:hint="eastAsia" w:ascii="宋体" w:hAnsi="宋体" w:eastAsia="宋体" w:cs="宋体"/>
          <w:sz w:val="24"/>
          <w:u w:val="single"/>
        </w:rPr>
        <w:t xml:space="preserve">                                                                       </w:t>
      </w:r>
    </w:p>
    <w:p>
      <w:pPr>
        <w:spacing w:line="360" w:lineRule="auto"/>
        <w:rPr>
          <w:rFonts w:hint="eastAsia" w:ascii="宋体" w:hAnsi="宋体" w:eastAsia="宋体" w:cs="宋体"/>
          <w:sz w:val="24"/>
        </w:rPr>
      </w:pPr>
      <w:r>
        <w:rPr>
          <w:rFonts w:hint="eastAsia" w:ascii="宋体" w:hAnsi="宋体" w:eastAsia="宋体" w:cs="宋体"/>
          <w:sz w:val="24"/>
          <w:u w:val="single"/>
        </w:rPr>
        <w:t xml:space="preserve">                                                                       </w:t>
      </w:r>
    </w:p>
    <w:p>
      <w:pPr>
        <w:spacing w:line="360" w:lineRule="auto"/>
        <w:ind w:firstLine="606"/>
        <w:outlineLvl w:val="0"/>
        <w:rPr>
          <w:rFonts w:hint="eastAsia" w:ascii="宋体" w:hAnsi="宋体" w:eastAsia="宋体" w:cs="宋体"/>
          <w:b/>
          <w:sz w:val="28"/>
        </w:rPr>
      </w:pPr>
      <w:bookmarkStart w:id="1820" w:name="_Toc67418427"/>
      <w:bookmarkStart w:id="1821" w:name="_Toc448841343"/>
      <w:bookmarkStart w:id="1822" w:name="_Toc67418860"/>
      <w:bookmarkStart w:id="1823" w:name="_Toc448494346"/>
      <w:bookmarkStart w:id="1824" w:name="_Toc492905341"/>
      <w:bookmarkStart w:id="1825" w:name="_Toc453616676"/>
      <w:bookmarkStart w:id="1826" w:name="_Toc14216"/>
      <w:bookmarkStart w:id="1827" w:name="_Toc67327374"/>
      <w:r>
        <w:rPr>
          <w:rFonts w:hint="eastAsia" w:ascii="宋体" w:hAnsi="宋体" w:eastAsia="宋体" w:cs="宋体"/>
          <w:b/>
          <w:sz w:val="28"/>
        </w:rPr>
        <w:t>三、工程质量保修责任</w:t>
      </w:r>
      <w:bookmarkEnd w:id="1820"/>
      <w:bookmarkEnd w:id="1821"/>
      <w:bookmarkEnd w:id="1822"/>
      <w:bookmarkEnd w:id="1823"/>
      <w:bookmarkEnd w:id="1824"/>
      <w:bookmarkEnd w:id="1825"/>
      <w:bookmarkEnd w:id="1826"/>
      <w:bookmarkEnd w:id="1827"/>
    </w:p>
    <w:p>
      <w:pPr>
        <w:spacing w:line="360" w:lineRule="auto"/>
        <w:ind w:firstLine="480"/>
        <w:rPr>
          <w:rFonts w:hint="eastAsia" w:ascii="宋体" w:hAnsi="宋体" w:eastAsia="宋体" w:cs="宋体"/>
          <w:sz w:val="24"/>
        </w:rPr>
      </w:pPr>
      <w:r>
        <w:rPr>
          <w:rFonts w:hint="eastAsia" w:ascii="宋体" w:hAnsi="宋体" w:eastAsia="宋体" w:cs="宋体"/>
          <w:sz w:val="24"/>
        </w:rPr>
        <w:t>1.属于保修范围内的项目，在保修期内，承包人应在接到保修通知之日后７天内派人修理。承包人不在约定期限内派人修理，发包人可委托其他人员修理。</w:t>
      </w:r>
    </w:p>
    <w:p>
      <w:pPr>
        <w:spacing w:line="360" w:lineRule="auto"/>
        <w:ind w:firstLine="480"/>
        <w:rPr>
          <w:rFonts w:hint="eastAsia" w:ascii="宋体" w:hAnsi="宋体" w:eastAsia="宋体" w:cs="宋体"/>
          <w:sz w:val="24"/>
        </w:rPr>
      </w:pPr>
      <w:r>
        <w:rPr>
          <w:rFonts w:hint="eastAsia" w:ascii="宋体" w:hAnsi="宋体" w:eastAsia="宋体" w:cs="宋体"/>
          <w:sz w:val="24"/>
        </w:rPr>
        <w:t>2.发生紧急抢修事故的，承包人接到事故通知后，应立即到达事故现场抢修。</w:t>
      </w:r>
    </w:p>
    <w:p>
      <w:pPr>
        <w:spacing w:line="360" w:lineRule="auto"/>
        <w:ind w:firstLine="606"/>
        <w:outlineLvl w:val="0"/>
        <w:rPr>
          <w:rFonts w:hint="eastAsia" w:ascii="宋体" w:hAnsi="宋体" w:eastAsia="宋体" w:cs="宋体"/>
          <w:b/>
          <w:sz w:val="28"/>
        </w:rPr>
      </w:pPr>
      <w:bookmarkStart w:id="1828" w:name="_Toc492905342"/>
      <w:bookmarkStart w:id="1829" w:name="_Toc67418428"/>
      <w:bookmarkStart w:id="1830" w:name="_Toc67327375"/>
      <w:bookmarkStart w:id="1831" w:name="_Toc67418861"/>
      <w:bookmarkStart w:id="1832" w:name="_Toc448494347"/>
      <w:bookmarkStart w:id="1833" w:name="_Toc453616677"/>
      <w:bookmarkStart w:id="1834" w:name="_Toc448841344"/>
      <w:bookmarkStart w:id="1835" w:name="_Toc4623"/>
      <w:r>
        <w:rPr>
          <w:rFonts w:hint="eastAsia" w:ascii="宋体" w:hAnsi="宋体" w:eastAsia="宋体" w:cs="宋体"/>
          <w:b/>
          <w:sz w:val="28"/>
        </w:rPr>
        <w:t>四、工程质量保修费用</w:t>
      </w:r>
      <w:bookmarkEnd w:id="1828"/>
      <w:bookmarkEnd w:id="1829"/>
      <w:bookmarkEnd w:id="1830"/>
      <w:bookmarkEnd w:id="1831"/>
      <w:bookmarkEnd w:id="1832"/>
      <w:bookmarkEnd w:id="1833"/>
      <w:bookmarkEnd w:id="1834"/>
      <w:bookmarkEnd w:id="1835"/>
    </w:p>
    <w:p>
      <w:pPr>
        <w:spacing w:line="360" w:lineRule="auto"/>
        <w:ind w:firstLine="480"/>
        <w:rPr>
          <w:rFonts w:hint="eastAsia" w:ascii="宋体" w:hAnsi="宋体" w:eastAsia="宋体" w:cs="宋体"/>
          <w:sz w:val="24"/>
        </w:rPr>
      </w:pPr>
      <w:r>
        <w:rPr>
          <w:rFonts w:hint="eastAsia" w:ascii="宋体" w:hAnsi="宋体" w:eastAsia="宋体" w:cs="宋体"/>
          <w:sz w:val="24"/>
        </w:rPr>
        <w:t>工程质量保修费用及相关的损害赔偿责任由造成质量缺陷的责任方承担。</w:t>
      </w:r>
    </w:p>
    <w:p>
      <w:pPr>
        <w:spacing w:line="360" w:lineRule="auto"/>
        <w:ind w:firstLine="606"/>
        <w:outlineLvl w:val="0"/>
        <w:rPr>
          <w:rFonts w:hint="eastAsia" w:ascii="宋体" w:hAnsi="宋体" w:eastAsia="宋体" w:cs="宋体"/>
          <w:b/>
          <w:sz w:val="28"/>
        </w:rPr>
      </w:pPr>
      <w:bookmarkStart w:id="1836" w:name="_Toc101"/>
      <w:bookmarkStart w:id="1837" w:name="_Toc67418862"/>
      <w:bookmarkStart w:id="1838" w:name="_Toc448494348"/>
      <w:bookmarkStart w:id="1839" w:name="_Toc453616678"/>
      <w:bookmarkStart w:id="1840" w:name="_Toc492905343"/>
      <w:bookmarkStart w:id="1841" w:name="_Toc67418429"/>
      <w:bookmarkStart w:id="1842" w:name="_Toc67327376"/>
      <w:bookmarkStart w:id="1843" w:name="_Toc448841345"/>
      <w:r>
        <w:rPr>
          <w:rFonts w:hint="eastAsia" w:ascii="宋体" w:hAnsi="宋体" w:eastAsia="宋体" w:cs="宋体"/>
          <w:b/>
          <w:sz w:val="28"/>
        </w:rPr>
        <w:t>五、工程质量保证方式</w:t>
      </w:r>
      <w:bookmarkEnd w:id="1836"/>
      <w:bookmarkEnd w:id="1837"/>
      <w:bookmarkEnd w:id="1838"/>
      <w:bookmarkEnd w:id="1839"/>
      <w:bookmarkEnd w:id="1840"/>
      <w:bookmarkEnd w:id="1841"/>
      <w:bookmarkEnd w:id="1842"/>
      <w:bookmarkEnd w:id="1843"/>
    </w:p>
    <w:p>
      <w:pPr>
        <w:pStyle w:val="19"/>
        <w:snapToGrid w:val="0"/>
        <w:spacing w:line="346" w:lineRule="auto"/>
        <w:ind w:firstLine="480"/>
        <w:rPr>
          <w:rFonts w:hint="eastAsia" w:ascii="宋体" w:hAnsi="宋体" w:eastAsia="宋体" w:cs="宋体"/>
          <w:sz w:val="24"/>
          <w:szCs w:val="24"/>
        </w:rPr>
      </w:pPr>
      <w:r>
        <w:rPr>
          <w:rFonts w:hint="eastAsia" w:ascii="宋体" w:hAnsi="宋体" w:eastAsia="宋体" w:cs="宋体"/>
          <w:sz w:val="24"/>
          <w:szCs w:val="24"/>
        </w:rPr>
        <w:t>工程质量保证方式可采用以下方式：</w:t>
      </w:r>
    </w:p>
    <w:p>
      <w:pPr>
        <w:pStyle w:val="19"/>
        <w:snapToGrid w:val="0"/>
        <w:spacing w:line="346" w:lineRule="auto"/>
        <w:ind w:firstLine="519"/>
        <w:rPr>
          <w:rFonts w:hint="eastAsia" w:ascii="宋体" w:hAnsi="宋体" w:eastAsia="宋体" w:cs="宋体"/>
          <w:b/>
          <w:sz w:val="28"/>
          <w:szCs w:val="28"/>
        </w:rPr>
      </w:pPr>
      <w:r>
        <w:rPr>
          <w:rFonts w:hint="eastAsia" w:ascii="宋体" w:hAnsi="宋体" w:eastAsia="宋体" w:cs="宋体"/>
          <w:b/>
          <w:sz w:val="24"/>
        </w:rPr>
        <w:drawing>
          <wp:inline distT="0" distB="0" distL="114300" distR="114300">
            <wp:extent cx="152400" cy="142875"/>
            <wp:effectExtent l="0" t="0" r="0" b="9525"/>
            <wp:docPr id="141"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图片 135"/>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b/>
          <w:sz w:val="28"/>
          <w:szCs w:val="28"/>
        </w:rPr>
        <w:t>质量保证金：</w:t>
      </w:r>
    </w:p>
    <w:p>
      <w:pPr>
        <w:pStyle w:val="19"/>
        <w:snapToGrid w:val="0"/>
        <w:spacing w:line="346" w:lineRule="auto"/>
        <w:ind w:firstLine="480"/>
        <w:rPr>
          <w:rFonts w:hint="eastAsia" w:ascii="宋体" w:hAnsi="宋体" w:eastAsia="宋体" w:cs="宋体"/>
          <w:sz w:val="24"/>
          <w:szCs w:val="24"/>
        </w:rPr>
      </w:pPr>
      <w:r>
        <w:rPr>
          <w:rFonts w:hint="eastAsia" w:ascii="宋体" w:hAnsi="宋体" w:eastAsia="宋体" w:cs="宋体"/>
          <w:sz w:val="24"/>
          <w:szCs w:val="24"/>
        </w:rPr>
        <w:t>质量保证金一般不超过签约合同价的3％，发包人承包人约定本工程的质量保证金为签约合同价的</w:t>
      </w:r>
      <w:r>
        <w:rPr>
          <w:rFonts w:hint="eastAsia" w:ascii="宋体" w:hAnsi="宋体" w:eastAsia="宋体" w:cs="宋体"/>
          <w:sz w:val="24"/>
          <w:u w:val="single"/>
        </w:rPr>
        <w:t xml:space="preserve">      </w:t>
      </w:r>
      <w:r>
        <w:rPr>
          <w:rFonts w:hint="eastAsia" w:ascii="宋体" w:hAnsi="宋体" w:eastAsia="宋体" w:cs="宋体"/>
          <w:sz w:val="24"/>
          <w:szCs w:val="24"/>
        </w:rPr>
        <w:t>％，具体为：</w:t>
      </w:r>
    </w:p>
    <w:p>
      <w:pPr>
        <w:spacing w:line="360" w:lineRule="auto"/>
        <w:ind w:firstLine="720"/>
        <w:rPr>
          <w:rFonts w:hint="eastAsia" w:ascii="宋体" w:hAnsi="宋体" w:eastAsia="宋体" w:cs="宋体"/>
          <w:sz w:val="24"/>
          <w:u w:val="single"/>
        </w:rPr>
      </w:pPr>
      <w:r>
        <w:rPr>
          <w:rFonts w:hint="eastAsia" w:ascii="宋体" w:hAnsi="宋体" w:eastAsia="宋体" w:cs="宋体"/>
          <w:sz w:val="24"/>
        </w:rPr>
        <w:t>币种：</w:t>
      </w:r>
      <w:r>
        <w:rPr>
          <w:rFonts w:hint="eastAsia" w:ascii="宋体" w:hAnsi="宋体" w:eastAsia="宋体" w:cs="宋体"/>
          <w:sz w:val="24"/>
          <w:u w:val="single"/>
        </w:rPr>
        <w:t xml:space="preserve">        </w:t>
      </w:r>
    </w:p>
    <w:p>
      <w:pPr>
        <w:spacing w:line="360" w:lineRule="auto"/>
        <w:ind w:firstLine="720"/>
        <w:rPr>
          <w:rFonts w:hint="eastAsia" w:ascii="宋体" w:hAnsi="宋体" w:eastAsia="宋体" w:cs="宋体"/>
          <w:sz w:val="24"/>
        </w:rPr>
      </w:pPr>
      <w:r>
        <w:rPr>
          <w:rFonts w:hint="eastAsia" w:ascii="宋体" w:hAnsi="宋体" w:eastAsia="宋体" w:cs="宋体"/>
          <w:sz w:val="24"/>
        </w:rPr>
        <w:t>金额(大写)：￥</w:t>
      </w:r>
      <w:r>
        <w:rPr>
          <w:rFonts w:hint="eastAsia" w:ascii="宋体" w:hAnsi="宋体" w:eastAsia="宋体" w:cs="宋体"/>
          <w:sz w:val="24"/>
          <w:u w:val="single"/>
        </w:rPr>
        <w:t xml:space="preserve">                </w:t>
      </w:r>
      <w:r>
        <w:rPr>
          <w:rFonts w:hint="eastAsia" w:ascii="宋体" w:hAnsi="宋体" w:eastAsia="宋体" w:cs="宋体"/>
          <w:sz w:val="24"/>
        </w:rPr>
        <w:t>元</w:t>
      </w:r>
    </w:p>
    <w:p>
      <w:pPr>
        <w:spacing w:line="360" w:lineRule="auto"/>
        <w:ind w:firstLine="1200"/>
        <w:rPr>
          <w:rFonts w:hint="eastAsia" w:ascii="宋体" w:hAnsi="宋体" w:eastAsia="宋体" w:cs="宋体"/>
          <w:sz w:val="24"/>
        </w:rPr>
      </w:pPr>
      <w:r>
        <w:rPr>
          <w:rFonts w:hint="eastAsia" w:ascii="宋体" w:hAnsi="宋体" w:eastAsia="宋体" w:cs="宋体"/>
          <w:sz w:val="24"/>
        </w:rPr>
        <w:t>(小写)：￥</w:t>
      </w:r>
      <w:r>
        <w:rPr>
          <w:rFonts w:hint="eastAsia" w:ascii="宋体" w:hAnsi="宋体" w:eastAsia="宋体" w:cs="宋体"/>
          <w:sz w:val="24"/>
          <w:u w:val="single"/>
        </w:rPr>
        <w:t xml:space="preserve">                </w:t>
      </w:r>
      <w:r>
        <w:rPr>
          <w:rFonts w:hint="eastAsia" w:ascii="宋体" w:hAnsi="宋体" w:eastAsia="宋体" w:cs="宋体"/>
          <w:sz w:val="24"/>
        </w:rPr>
        <w:t>元</w:t>
      </w:r>
    </w:p>
    <w:p>
      <w:pPr>
        <w:pStyle w:val="19"/>
        <w:snapToGrid w:val="0"/>
        <w:spacing w:line="346" w:lineRule="auto"/>
        <w:ind w:firstLine="644"/>
        <w:rPr>
          <w:rFonts w:hint="eastAsia" w:ascii="宋体" w:hAnsi="宋体" w:eastAsia="宋体" w:cs="宋体"/>
          <w:sz w:val="24"/>
          <w:szCs w:val="24"/>
          <w:u w:val="single"/>
        </w:rPr>
      </w:pPr>
      <w:r>
        <w:rPr>
          <w:rFonts w:hint="eastAsia" w:ascii="宋体" w:hAnsi="宋体" w:eastAsia="宋体" w:cs="宋体"/>
          <w:sz w:val="24"/>
          <w:szCs w:val="24"/>
        </w:rPr>
        <w:t>质量保证金银行利率为：</w:t>
      </w:r>
      <w:r>
        <w:rPr>
          <w:rFonts w:hint="eastAsia" w:ascii="宋体" w:hAnsi="宋体" w:eastAsia="宋体" w:cs="宋体"/>
          <w:sz w:val="24"/>
          <w:u w:val="single"/>
        </w:rPr>
        <w:t xml:space="preserve">                    </w:t>
      </w:r>
    </w:p>
    <w:p>
      <w:pPr>
        <w:pStyle w:val="19"/>
        <w:snapToGrid w:val="0"/>
        <w:spacing w:line="346" w:lineRule="auto"/>
        <w:ind w:firstLine="519"/>
        <w:rPr>
          <w:rFonts w:hint="eastAsia" w:ascii="宋体" w:hAnsi="宋体" w:eastAsia="宋体" w:cs="宋体"/>
          <w:sz w:val="28"/>
        </w:rPr>
      </w:pPr>
      <w:r>
        <w:rPr>
          <w:rFonts w:hint="eastAsia" w:ascii="宋体" w:hAnsi="宋体" w:eastAsia="宋体" w:cs="宋体"/>
          <w:b/>
          <w:sz w:val="24"/>
        </w:rPr>
        <w:drawing>
          <wp:inline distT="0" distB="0" distL="114300" distR="114300">
            <wp:extent cx="152400" cy="142875"/>
            <wp:effectExtent l="0" t="0" r="0" b="9525"/>
            <wp:docPr id="142"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图片 136"/>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b/>
          <w:sz w:val="28"/>
        </w:rPr>
        <w:t>工程质量保证担保</w:t>
      </w:r>
      <w:r>
        <w:rPr>
          <w:rFonts w:hint="eastAsia" w:ascii="宋体" w:hAnsi="宋体" w:eastAsia="宋体" w:cs="宋体"/>
          <w:sz w:val="28"/>
        </w:rPr>
        <w:t>：</w:t>
      </w:r>
    </w:p>
    <w:p>
      <w:pPr>
        <w:spacing w:line="360" w:lineRule="auto"/>
        <w:rPr>
          <w:rFonts w:hint="eastAsia" w:ascii="宋体" w:hAnsi="宋体" w:eastAsia="宋体" w:cs="宋体"/>
          <w:sz w:val="24"/>
        </w:rPr>
      </w:pPr>
      <w:r>
        <w:rPr>
          <w:rFonts w:hint="eastAsia" w:ascii="宋体" w:hAnsi="宋体" w:eastAsia="宋体" w:cs="宋体"/>
          <w:sz w:val="24"/>
          <w:u w:val="single"/>
        </w:rPr>
        <w:t xml:space="preserve">                                                                       </w:t>
      </w:r>
    </w:p>
    <w:p>
      <w:pPr>
        <w:spacing w:line="360" w:lineRule="auto"/>
        <w:rPr>
          <w:rFonts w:hint="eastAsia" w:ascii="宋体" w:hAnsi="宋体" w:eastAsia="宋体" w:cs="宋体"/>
          <w:sz w:val="24"/>
        </w:rPr>
      </w:pPr>
      <w:r>
        <w:rPr>
          <w:rFonts w:hint="eastAsia" w:ascii="宋体" w:hAnsi="宋体" w:eastAsia="宋体" w:cs="宋体"/>
          <w:sz w:val="24"/>
          <w:u w:val="single"/>
        </w:rPr>
        <w:t xml:space="preserve">                                                                       </w:t>
      </w:r>
    </w:p>
    <w:p>
      <w:pPr>
        <w:spacing w:line="360" w:lineRule="auto"/>
        <w:rPr>
          <w:rFonts w:hint="eastAsia" w:ascii="宋体" w:hAnsi="宋体" w:eastAsia="宋体" w:cs="宋体"/>
          <w:sz w:val="24"/>
        </w:rPr>
      </w:pPr>
      <w:r>
        <w:rPr>
          <w:rFonts w:hint="eastAsia" w:ascii="宋体" w:hAnsi="宋体" w:eastAsia="宋体" w:cs="宋体"/>
          <w:sz w:val="24"/>
          <w:u w:val="single"/>
        </w:rPr>
        <w:t xml:space="preserve">                                                                       </w:t>
      </w:r>
    </w:p>
    <w:p>
      <w:pPr>
        <w:spacing w:line="360" w:lineRule="auto"/>
        <w:rPr>
          <w:rFonts w:hint="eastAsia" w:ascii="宋体" w:hAnsi="宋体" w:eastAsia="宋体" w:cs="宋体"/>
          <w:sz w:val="24"/>
        </w:rPr>
      </w:pPr>
      <w:r>
        <w:rPr>
          <w:rFonts w:hint="eastAsia" w:ascii="宋体" w:hAnsi="宋体" w:eastAsia="宋体" w:cs="宋体"/>
          <w:sz w:val="24"/>
          <w:u w:val="single"/>
        </w:rPr>
        <w:t xml:space="preserve">                                                                       </w:t>
      </w:r>
    </w:p>
    <w:p>
      <w:pPr>
        <w:pStyle w:val="19"/>
        <w:snapToGrid w:val="0"/>
        <w:spacing w:line="346" w:lineRule="auto"/>
        <w:ind w:firstLine="519"/>
        <w:rPr>
          <w:rFonts w:hint="eastAsia" w:ascii="宋体" w:hAnsi="宋体" w:eastAsia="宋体" w:cs="宋体"/>
          <w:sz w:val="28"/>
        </w:rPr>
      </w:pPr>
      <w:r>
        <w:rPr>
          <w:rFonts w:hint="eastAsia" w:ascii="宋体" w:hAnsi="宋体" w:eastAsia="宋体" w:cs="宋体"/>
          <w:b/>
          <w:sz w:val="24"/>
        </w:rPr>
        <w:drawing>
          <wp:inline distT="0" distB="0" distL="114300" distR="114300">
            <wp:extent cx="152400" cy="142875"/>
            <wp:effectExtent l="0" t="0" r="0" b="9525"/>
            <wp:docPr id="139"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图片 137"/>
                    <pic:cNvPicPr>
                      <a:picLocks noChangeAspect="1"/>
                    </pic:cNvPicPr>
                  </pic:nvPicPr>
                  <pic:blipFill>
                    <a:blip r:embed="rId8"/>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b/>
          <w:sz w:val="28"/>
        </w:rPr>
        <w:t>工程质量保险</w:t>
      </w:r>
      <w:r>
        <w:rPr>
          <w:rFonts w:hint="eastAsia" w:ascii="宋体" w:hAnsi="宋体" w:eastAsia="宋体" w:cs="宋体"/>
          <w:sz w:val="28"/>
        </w:rPr>
        <w:t>：</w:t>
      </w:r>
    </w:p>
    <w:p>
      <w:pPr>
        <w:spacing w:line="360" w:lineRule="auto"/>
        <w:rPr>
          <w:rFonts w:hint="eastAsia" w:ascii="宋体" w:hAnsi="宋体" w:eastAsia="宋体" w:cs="宋体"/>
          <w:sz w:val="24"/>
        </w:rPr>
      </w:pPr>
      <w:r>
        <w:rPr>
          <w:rFonts w:hint="eastAsia" w:ascii="宋体" w:hAnsi="宋体" w:eastAsia="宋体" w:cs="宋体"/>
          <w:sz w:val="24"/>
          <w:u w:val="single"/>
        </w:rPr>
        <w:t xml:space="preserve">                                                                       </w:t>
      </w:r>
    </w:p>
    <w:p>
      <w:pPr>
        <w:spacing w:line="360" w:lineRule="auto"/>
        <w:rPr>
          <w:rFonts w:hint="eastAsia" w:ascii="宋体" w:hAnsi="宋体" w:eastAsia="宋体" w:cs="宋体"/>
          <w:sz w:val="24"/>
        </w:rPr>
      </w:pPr>
      <w:r>
        <w:rPr>
          <w:rFonts w:hint="eastAsia" w:ascii="宋体" w:hAnsi="宋体" w:eastAsia="宋体" w:cs="宋体"/>
          <w:sz w:val="24"/>
          <w:u w:val="single"/>
        </w:rPr>
        <w:t xml:space="preserve">                                                                       </w:t>
      </w:r>
    </w:p>
    <w:p>
      <w:pPr>
        <w:spacing w:line="360" w:lineRule="auto"/>
        <w:rPr>
          <w:rFonts w:hint="eastAsia" w:ascii="宋体" w:hAnsi="宋体" w:eastAsia="宋体" w:cs="宋体"/>
          <w:sz w:val="24"/>
        </w:rPr>
      </w:pPr>
      <w:r>
        <w:rPr>
          <w:rFonts w:hint="eastAsia" w:ascii="宋体" w:hAnsi="宋体" w:eastAsia="宋体" w:cs="宋体"/>
          <w:sz w:val="24"/>
          <w:u w:val="single"/>
        </w:rPr>
        <w:t xml:space="preserve">                                                                       </w:t>
      </w:r>
    </w:p>
    <w:p>
      <w:pPr>
        <w:spacing w:line="360" w:lineRule="auto"/>
        <w:ind w:firstLine="606"/>
        <w:outlineLvl w:val="0"/>
        <w:rPr>
          <w:rFonts w:hint="eastAsia" w:ascii="宋体" w:hAnsi="宋体" w:eastAsia="宋体" w:cs="宋体"/>
          <w:b/>
          <w:sz w:val="28"/>
        </w:rPr>
      </w:pPr>
      <w:bookmarkStart w:id="1844" w:name="_Toc67327377"/>
      <w:bookmarkStart w:id="1845" w:name="_Toc8145"/>
      <w:bookmarkStart w:id="1846" w:name="_Toc67418430"/>
      <w:bookmarkStart w:id="1847" w:name="_Toc67418863"/>
      <w:bookmarkStart w:id="1848" w:name="_Toc492905344"/>
      <w:bookmarkStart w:id="1849" w:name="_Toc453616679"/>
      <w:bookmarkStart w:id="1850" w:name="_Toc448841346"/>
      <w:bookmarkStart w:id="1851" w:name="_Toc448494349"/>
      <w:r>
        <w:rPr>
          <w:rFonts w:hint="eastAsia" w:ascii="宋体" w:hAnsi="宋体" w:eastAsia="宋体" w:cs="宋体"/>
          <w:b/>
          <w:sz w:val="28"/>
        </w:rPr>
        <w:t>六、质量保证金的支付</w:t>
      </w:r>
      <w:bookmarkEnd w:id="1844"/>
      <w:bookmarkEnd w:id="1845"/>
      <w:bookmarkEnd w:id="1846"/>
      <w:bookmarkEnd w:id="1847"/>
      <w:bookmarkEnd w:id="1848"/>
      <w:bookmarkEnd w:id="1849"/>
      <w:bookmarkEnd w:id="1850"/>
      <w:bookmarkEnd w:id="1851"/>
    </w:p>
    <w:p>
      <w:pPr>
        <w:pStyle w:val="19"/>
        <w:snapToGrid w:val="0"/>
        <w:spacing w:line="346" w:lineRule="auto"/>
        <w:ind w:firstLine="480"/>
        <w:rPr>
          <w:rFonts w:hint="eastAsia" w:ascii="宋体" w:hAnsi="宋体" w:eastAsia="宋体" w:cs="宋体"/>
          <w:sz w:val="24"/>
        </w:rPr>
      </w:pPr>
      <w:r>
        <w:rPr>
          <w:rFonts w:hint="eastAsia" w:ascii="宋体" w:hAnsi="宋体" w:eastAsia="宋体" w:cs="宋体"/>
          <w:sz w:val="24"/>
        </w:rPr>
        <w:t>采用质量保证金方式时，发包人在工程竣工验收合格满二年后第14天内，将剩余质量保证金和利息支付给承包人，但并不免除承包人在保修期内的保修责任。</w:t>
      </w:r>
    </w:p>
    <w:p>
      <w:pPr>
        <w:pStyle w:val="19"/>
        <w:snapToGrid w:val="0"/>
        <w:spacing w:line="346" w:lineRule="auto"/>
        <w:ind w:firstLine="480"/>
        <w:rPr>
          <w:rFonts w:hint="eastAsia" w:ascii="宋体" w:hAnsi="宋体" w:eastAsia="宋体" w:cs="宋体"/>
          <w:sz w:val="24"/>
        </w:rPr>
      </w:pPr>
      <w:r>
        <w:rPr>
          <w:rFonts w:hint="eastAsia" w:ascii="宋体" w:hAnsi="宋体" w:eastAsia="宋体" w:cs="宋体"/>
          <w:sz w:val="24"/>
        </w:rPr>
        <w:t>如发包人不在约定时限内足额向承包人支付剩余质量保证金和利息的，发包人应从约定应付之日起按同期银行贷款利率向承包人支付拖欠款额的贷款利息，并按每延期一天向承包人赔偿拖欠款额的千分之一的标准承担违约责任。</w:t>
      </w:r>
    </w:p>
    <w:p>
      <w:pPr>
        <w:spacing w:line="360" w:lineRule="auto"/>
        <w:ind w:firstLine="606"/>
        <w:outlineLvl w:val="0"/>
        <w:rPr>
          <w:rFonts w:hint="eastAsia" w:ascii="宋体" w:hAnsi="宋体" w:eastAsia="宋体" w:cs="宋体"/>
          <w:b/>
          <w:sz w:val="28"/>
        </w:rPr>
      </w:pPr>
      <w:bookmarkStart w:id="1852" w:name="_Toc5556"/>
      <w:bookmarkStart w:id="1853" w:name="_Toc448494350"/>
      <w:bookmarkStart w:id="1854" w:name="_Toc67418864"/>
      <w:bookmarkStart w:id="1855" w:name="_Toc492905345"/>
      <w:bookmarkStart w:id="1856" w:name="_Toc448841347"/>
      <w:bookmarkStart w:id="1857" w:name="_Toc453616680"/>
      <w:bookmarkStart w:id="1858" w:name="_Toc67418431"/>
      <w:bookmarkStart w:id="1859" w:name="_Toc67327378"/>
      <w:r>
        <w:rPr>
          <w:rFonts w:hint="eastAsia" w:ascii="宋体" w:hAnsi="宋体" w:eastAsia="宋体" w:cs="宋体"/>
          <w:b/>
          <w:sz w:val="28"/>
        </w:rPr>
        <w:t>七、其他</w:t>
      </w:r>
      <w:bookmarkEnd w:id="1852"/>
      <w:bookmarkEnd w:id="1853"/>
      <w:bookmarkEnd w:id="1854"/>
      <w:bookmarkEnd w:id="1855"/>
      <w:bookmarkEnd w:id="1856"/>
      <w:bookmarkEnd w:id="1857"/>
      <w:bookmarkEnd w:id="1858"/>
      <w:bookmarkEnd w:id="1859"/>
    </w:p>
    <w:p>
      <w:pPr>
        <w:pStyle w:val="19"/>
        <w:snapToGrid w:val="0"/>
        <w:spacing w:line="346" w:lineRule="auto"/>
        <w:ind w:firstLine="480"/>
        <w:rPr>
          <w:rFonts w:hint="eastAsia" w:ascii="宋体" w:hAnsi="宋体" w:eastAsia="宋体" w:cs="宋体"/>
          <w:sz w:val="24"/>
          <w:szCs w:val="24"/>
          <w:u w:val="single"/>
        </w:rPr>
      </w:pPr>
      <w:r>
        <w:rPr>
          <w:rFonts w:hint="eastAsia" w:ascii="宋体" w:hAnsi="宋体" w:eastAsia="宋体" w:cs="宋体"/>
          <w:sz w:val="24"/>
        </w:rPr>
        <w:t>发包人承包人约定的其他工程质量保修事项：</w:t>
      </w:r>
      <w:r>
        <w:rPr>
          <w:rFonts w:hint="eastAsia" w:ascii="宋体" w:hAnsi="宋体" w:eastAsia="宋体" w:cs="宋体"/>
          <w:sz w:val="24"/>
          <w:u w:val="single"/>
        </w:rPr>
        <w:t xml:space="preserve">  </w:t>
      </w:r>
      <w:r>
        <w:rPr>
          <w:rFonts w:hint="eastAsia" w:ascii="宋体" w:hAnsi="宋体" w:eastAsia="宋体" w:cs="宋体"/>
          <w:sz w:val="24"/>
          <w:szCs w:val="24"/>
          <w:u w:val="single"/>
        </w:rPr>
        <w:t xml:space="preserve">                     </w:t>
      </w:r>
    </w:p>
    <w:p>
      <w:pPr>
        <w:spacing w:line="360" w:lineRule="auto"/>
        <w:rPr>
          <w:rFonts w:hint="eastAsia" w:ascii="宋体" w:hAnsi="宋体" w:eastAsia="宋体" w:cs="宋体"/>
          <w:sz w:val="24"/>
        </w:rPr>
      </w:pPr>
      <w:r>
        <w:rPr>
          <w:rFonts w:hint="eastAsia" w:ascii="宋体" w:hAnsi="宋体" w:eastAsia="宋体" w:cs="宋体"/>
          <w:sz w:val="24"/>
          <w:u w:val="single"/>
        </w:rPr>
        <w:t xml:space="preserve">                                                                       </w:t>
      </w:r>
    </w:p>
    <w:p>
      <w:pPr>
        <w:spacing w:line="360" w:lineRule="auto"/>
        <w:rPr>
          <w:rFonts w:hint="eastAsia" w:ascii="宋体" w:hAnsi="宋体" w:eastAsia="宋体" w:cs="宋体"/>
          <w:sz w:val="24"/>
        </w:rPr>
      </w:pPr>
      <w:r>
        <w:rPr>
          <w:rFonts w:hint="eastAsia" w:ascii="宋体" w:hAnsi="宋体" w:eastAsia="宋体" w:cs="宋体"/>
          <w:sz w:val="24"/>
          <w:u w:val="single"/>
        </w:rPr>
        <w:t xml:space="preserve">                                                                       </w:t>
      </w:r>
    </w:p>
    <w:p>
      <w:pPr>
        <w:spacing w:line="360" w:lineRule="auto"/>
        <w:rPr>
          <w:rFonts w:hint="eastAsia" w:ascii="宋体" w:hAnsi="宋体" w:eastAsia="宋体" w:cs="宋体"/>
          <w:sz w:val="24"/>
        </w:rPr>
      </w:pPr>
      <w:r>
        <w:rPr>
          <w:rFonts w:hint="eastAsia" w:ascii="宋体" w:hAnsi="宋体" w:eastAsia="宋体" w:cs="宋体"/>
          <w:sz w:val="24"/>
          <w:u w:val="single"/>
        </w:rPr>
        <w:t xml:space="preserve">                                                                       </w:t>
      </w:r>
    </w:p>
    <w:p>
      <w:pPr>
        <w:spacing w:line="360" w:lineRule="auto"/>
        <w:rPr>
          <w:rFonts w:hint="eastAsia" w:ascii="宋体" w:hAnsi="宋体" w:eastAsia="宋体" w:cs="宋体"/>
          <w:sz w:val="24"/>
        </w:rPr>
      </w:pPr>
      <w:r>
        <w:rPr>
          <w:rFonts w:hint="eastAsia" w:ascii="宋体" w:hAnsi="宋体" w:eastAsia="宋体" w:cs="宋体"/>
          <w:sz w:val="24"/>
          <w:u w:val="single"/>
        </w:rPr>
        <w:t xml:space="preserve">                                                                       </w:t>
      </w:r>
    </w:p>
    <w:p>
      <w:pPr>
        <w:pStyle w:val="19"/>
        <w:snapToGrid w:val="0"/>
        <w:spacing w:line="346" w:lineRule="auto"/>
        <w:ind w:firstLine="644"/>
        <w:rPr>
          <w:rFonts w:hint="eastAsia" w:ascii="宋体" w:hAnsi="宋体" w:eastAsia="宋体" w:cs="宋体"/>
          <w:sz w:val="24"/>
          <w:szCs w:val="24"/>
        </w:rPr>
      </w:pPr>
    </w:p>
    <w:p>
      <w:pPr>
        <w:pStyle w:val="19"/>
        <w:snapToGrid w:val="0"/>
        <w:spacing w:line="346" w:lineRule="auto"/>
        <w:ind w:firstLine="644"/>
        <w:rPr>
          <w:rFonts w:hint="eastAsia" w:ascii="宋体" w:hAnsi="宋体" w:eastAsia="宋体" w:cs="宋体"/>
          <w:sz w:val="24"/>
          <w:szCs w:val="24"/>
        </w:rPr>
      </w:pPr>
      <w:r>
        <w:rPr>
          <w:rFonts w:hint="eastAsia" w:ascii="宋体" w:hAnsi="宋体" w:eastAsia="宋体" w:cs="宋体"/>
          <w:sz w:val="24"/>
          <w:szCs w:val="24"/>
        </w:rPr>
        <w:t>本</w:t>
      </w:r>
      <w:r>
        <w:rPr>
          <w:rFonts w:hint="eastAsia" w:ascii="宋体" w:hAnsi="宋体" w:eastAsia="宋体" w:cs="宋体"/>
          <w:sz w:val="24"/>
        </w:rPr>
        <w:t>《</w:t>
      </w:r>
      <w:r>
        <w:rPr>
          <w:rFonts w:hint="eastAsia" w:ascii="宋体" w:hAnsi="宋体" w:eastAsia="宋体" w:cs="宋体"/>
          <w:sz w:val="24"/>
          <w:szCs w:val="24"/>
        </w:rPr>
        <w:t>工程质量保修书</w:t>
      </w:r>
      <w:r>
        <w:rPr>
          <w:rFonts w:hint="eastAsia" w:ascii="宋体" w:hAnsi="宋体" w:eastAsia="宋体" w:cs="宋体"/>
          <w:sz w:val="24"/>
        </w:rPr>
        <w:t>》</w:t>
      </w:r>
      <w:r>
        <w:rPr>
          <w:rFonts w:hint="eastAsia" w:ascii="宋体" w:hAnsi="宋体" w:eastAsia="宋体" w:cs="宋体"/>
          <w:sz w:val="24"/>
          <w:szCs w:val="24"/>
        </w:rPr>
        <w:t>作为施工合同附件由发包人承包人双方共同签署。</w:t>
      </w:r>
    </w:p>
    <w:p>
      <w:pPr>
        <w:pStyle w:val="19"/>
        <w:snapToGrid w:val="0"/>
        <w:spacing w:line="346" w:lineRule="auto"/>
        <w:ind w:firstLine="644"/>
        <w:rPr>
          <w:rFonts w:hint="eastAsia" w:ascii="宋体" w:hAnsi="宋体" w:eastAsia="宋体" w:cs="宋体"/>
          <w:spacing w:val="14"/>
          <w:sz w:val="30"/>
        </w:rPr>
      </w:pPr>
    </w:p>
    <w:p>
      <w:pPr>
        <w:pStyle w:val="19"/>
        <w:snapToGrid w:val="0"/>
        <w:spacing w:line="346" w:lineRule="auto"/>
        <w:ind w:firstLine="644"/>
        <w:rPr>
          <w:rFonts w:hint="eastAsia" w:ascii="宋体" w:hAnsi="宋体" w:eastAsia="宋体" w:cs="宋体"/>
          <w:spacing w:val="14"/>
          <w:sz w:val="30"/>
        </w:rPr>
      </w:pPr>
    </w:p>
    <w:p>
      <w:pPr>
        <w:pStyle w:val="19"/>
        <w:snapToGrid w:val="0"/>
        <w:spacing w:line="346" w:lineRule="auto"/>
        <w:ind w:firstLine="644"/>
        <w:rPr>
          <w:rFonts w:hint="eastAsia" w:ascii="宋体" w:hAnsi="宋体" w:eastAsia="宋体" w:cs="宋体"/>
          <w:spacing w:val="14"/>
          <w:sz w:val="30"/>
        </w:rPr>
      </w:pPr>
    </w:p>
    <w:p>
      <w:pPr>
        <w:pStyle w:val="19"/>
        <w:snapToGrid w:val="0"/>
        <w:spacing w:line="346" w:lineRule="auto"/>
        <w:ind w:firstLine="644"/>
        <w:rPr>
          <w:rFonts w:hint="eastAsia" w:ascii="宋体" w:hAnsi="宋体" w:eastAsia="宋体" w:cs="宋体"/>
          <w:spacing w:val="14"/>
          <w:sz w:val="30"/>
        </w:rPr>
      </w:pPr>
    </w:p>
    <w:p>
      <w:pPr>
        <w:pStyle w:val="19"/>
        <w:snapToGrid w:val="0"/>
        <w:spacing w:line="346" w:lineRule="auto"/>
        <w:rPr>
          <w:rFonts w:hint="eastAsia" w:ascii="宋体" w:hAnsi="宋体" w:eastAsia="宋体" w:cs="宋体"/>
          <w:spacing w:val="14"/>
          <w:sz w:val="24"/>
        </w:rPr>
      </w:pPr>
    </w:p>
    <w:p>
      <w:pPr>
        <w:pStyle w:val="19"/>
        <w:snapToGrid w:val="0"/>
        <w:spacing w:line="346" w:lineRule="auto"/>
        <w:ind w:left="420" w:firstLine="120"/>
        <w:rPr>
          <w:rFonts w:hint="eastAsia" w:ascii="宋体" w:hAnsi="宋体" w:eastAsia="宋体" w:cs="宋体"/>
          <w:sz w:val="24"/>
          <w:szCs w:val="24"/>
        </w:rPr>
      </w:pPr>
      <w:r>
        <w:rPr>
          <w:rFonts w:hint="eastAsia" w:ascii="宋体" w:hAnsi="宋体" w:eastAsia="宋体" w:cs="宋体"/>
          <w:sz w:val="24"/>
          <w:szCs w:val="24"/>
        </w:rPr>
        <w:t>发  包  人(公章) ：                   承  包  人(公章)：</w:t>
      </w:r>
    </w:p>
    <w:p>
      <w:pPr>
        <w:pStyle w:val="19"/>
        <w:snapToGrid w:val="0"/>
        <w:spacing w:line="346" w:lineRule="auto"/>
        <w:rPr>
          <w:rFonts w:hint="eastAsia" w:ascii="宋体" w:hAnsi="宋体" w:eastAsia="宋体" w:cs="宋体"/>
          <w:sz w:val="24"/>
          <w:szCs w:val="24"/>
        </w:rPr>
      </w:pPr>
    </w:p>
    <w:p>
      <w:pPr>
        <w:pStyle w:val="19"/>
        <w:snapToGrid w:val="0"/>
        <w:spacing w:line="346" w:lineRule="auto"/>
        <w:ind w:firstLine="480"/>
        <w:rPr>
          <w:rFonts w:hint="eastAsia" w:ascii="宋体" w:hAnsi="宋体" w:eastAsia="宋体" w:cs="宋体"/>
          <w:sz w:val="24"/>
          <w:szCs w:val="24"/>
        </w:rPr>
      </w:pPr>
      <w:r>
        <w:rPr>
          <w:rFonts w:hint="eastAsia" w:ascii="宋体" w:hAnsi="宋体" w:eastAsia="宋体" w:cs="宋体"/>
          <w:sz w:val="24"/>
          <w:szCs w:val="24"/>
        </w:rPr>
        <w:t>法定代表人(签字) ：                   法定代表人(签字)：</w:t>
      </w:r>
    </w:p>
    <w:p>
      <w:pPr>
        <w:pStyle w:val="19"/>
        <w:snapToGrid w:val="0"/>
        <w:spacing w:line="346" w:lineRule="auto"/>
        <w:rPr>
          <w:rFonts w:hint="eastAsia" w:ascii="宋体" w:hAnsi="宋体" w:eastAsia="宋体" w:cs="宋体"/>
          <w:sz w:val="24"/>
          <w:szCs w:val="24"/>
        </w:rPr>
      </w:pPr>
    </w:p>
    <w:p>
      <w:pPr>
        <w:rPr>
          <w:highlight w:val="none"/>
        </w:rPr>
      </w:pPr>
      <w:r>
        <w:rPr>
          <w:rFonts w:hint="eastAsia" w:ascii="宋体" w:hAnsi="宋体" w:eastAsia="宋体" w:cs="宋体"/>
          <w:sz w:val="24"/>
          <w:szCs w:val="24"/>
        </w:rPr>
        <w:t xml:space="preserve">      年    月   日                        年   月    日</w:t>
      </w:r>
      <w:r>
        <w:rPr>
          <w:highlight w:val="none"/>
        </w:rPr>
        <w:br w:type="page"/>
      </w:r>
    </w:p>
    <w:p>
      <w:pPr>
        <w:adjustRightInd w:val="0"/>
        <w:snapToGrid w:val="0"/>
        <w:spacing w:line="360" w:lineRule="auto"/>
        <w:rPr>
          <w:b/>
          <w:szCs w:val="21"/>
          <w:highlight w:val="none"/>
        </w:rPr>
      </w:pPr>
      <w:r>
        <w:rPr>
          <w:rFonts w:hint="eastAsia"/>
          <w:b/>
          <w:szCs w:val="21"/>
          <w:highlight w:val="none"/>
        </w:rPr>
        <w:t>附表一：</w:t>
      </w:r>
    </w:p>
    <w:p>
      <w:pPr>
        <w:adjustRightInd w:val="0"/>
        <w:snapToGrid w:val="0"/>
        <w:spacing w:line="360" w:lineRule="auto"/>
        <w:jc w:val="center"/>
        <w:rPr>
          <w:b/>
          <w:sz w:val="30"/>
          <w:highlight w:val="none"/>
        </w:rPr>
      </w:pPr>
      <w:r>
        <w:rPr>
          <w:rFonts w:hint="eastAsia"/>
          <w:b/>
          <w:sz w:val="30"/>
          <w:highlight w:val="none"/>
        </w:rPr>
        <w:t>发包人供应材料设备清单</w:t>
      </w:r>
    </w:p>
    <w:p>
      <w:pPr>
        <w:adjustRightInd w:val="0"/>
        <w:snapToGrid w:val="0"/>
        <w:spacing w:line="360" w:lineRule="auto"/>
        <w:rPr>
          <w:highlight w:val="none"/>
        </w:rPr>
      </w:pPr>
      <w:r>
        <w:rPr>
          <w:rFonts w:hint="eastAsia"/>
          <w:szCs w:val="21"/>
          <w:highlight w:val="none"/>
        </w:rPr>
        <w:t>发包人供应材料设备清单</w:t>
      </w:r>
      <w:r>
        <w:rPr>
          <w:highlight w:val="none"/>
        </w:rPr>
        <w:br w:type="page"/>
      </w:r>
    </w:p>
    <w:p>
      <w:pPr>
        <w:adjustRightInd w:val="0"/>
        <w:snapToGrid w:val="0"/>
        <w:spacing w:line="360" w:lineRule="auto"/>
        <w:jc w:val="center"/>
        <w:outlineLvl w:val="0"/>
        <w:rPr>
          <w:rFonts w:hint="eastAsia" w:ascii="黑体" w:hAnsi="黑体" w:eastAsia="黑体" w:cs="黑体"/>
          <w:b w:val="0"/>
          <w:bCs/>
          <w:sz w:val="32"/>
          <w:szCs w:val="32"/>
          <w:highlight w:val="none"/>
        </w:rPr>
      </w:pPr>
      <w:bookmarkStart w:id="1860" w:name="_Toc32256"/>
      <w:r>
        <w:rPr>
          <w:rFonts w:hint="eastAsia" w:ascii="黑体" w:hAnsi="黑体" w:eastAsia="黑体" w:cs="黑体"/>
          <w:b w:val="0"/>
          <w:bCs/>
          <w:sz w:val="32"/>
          <w:szCs w:val="32"/>
          <w:highlight w:val="none"/>
        </w:rPr>
        <w:t>第六章  标准、规范和技术要求</w:t>
      </w:r>
      <w:bookmarkEnd w:id="1860"/>
    </w:p>
    <w:p>
      <w:pPr>
        <w:spacing w:line="360" w:lineRule="auto"/>
        <w:jc w:val="center"/>
        <w:outlineLvl w:val="1"/>
        <w:rPr>
          <w:b/>
          <w:sz w:val="44"/>
          <w:highlight w:val="none"/>
        </w:rPr>
      </w:pPr>
      <w:bookmarkStart w:id="1861" w:name="_Toc19162"/>
      <w:r>
        <w:rPr>
          <w:rFonts w:hint="eastAsia" w:ascii="黑体" w:hAnsi="黑体" w:eastAsia="黑体" w:cs="黑体"/>
          <w:b w:val="0"/>
          <w:bCs/>
          <w:sz w:val="32"/>
          <w:szCs w:val="32"/>
          <w:highlight w:val="none"/>
        </w:rPr>
        <w:t>一、一般标准和技术规范</w:t>
      </w:r>
      <w:bookmarkEnd w:id="1861"/>
    </w:p>
    <w:p>
      <w:pPr>
        <w:adjustRightInd w:val="0"/>
        <w:snapToGrid w:val="0"/>
        <w:spacing w:line="360" w:lineRule="auto"/>
        <w:ind w:firstLine="422" w:firstLineChars="200"/>
        <w:rPr>
          <w:rFonts w:hint="eastAsia" w:ascii="宋体" w:hAnsi="宋体" w:eastAsia="宋体" w:cs="宋体"/>
          <w:b/>
          <w:szCs w:val="21"/>
          <w:highlight w:val="none"/>
        </w:rPr>
      </w:pPr>
      <w:r>
        <w:rPr>
          <w:rFonts w:hint="eastAsia" w:ascii="宋体" w:hAnsi="宋体" w:eastAsia="宋体" w:cs="宋体"/>
          <w:b/>
          <w:szCs w:val="21"/>
          <w:highlight w:val="none"/>
        </w:rPr>
        <w:t>1.一般标准和技术规范</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1.1本招标工程的材料、设备、施工必须符合现行国家、行业及工程所在地地方标准和技术规范的要求。</w:t>
      </w:r>
    </w:p>
    <w:p>
      <w:pPr>
        <w:spacing w:line="360" w:lineRule="auto"/>
        <w:jc w:val="center"/>
        <w:outlineLvl w:val="1"/>
        <w:rPr>
          <w:b/>
          <w:sz w:val="44"/>
          <w:highlight w:val="none"/>
        </w:rPr>
      </w:pPr>
      <w:bookmarkStart w:id="1862" w:name="_Toc1017"/>
      <w:r>
        <w:rPr>
          <w:rFonts w:hint="eastAsia" w:ascii="黑体" w:hAnsi="黑体" w:eastAsia="黑体" w:cs="黑体"/>
          <w:b w:val="0"/>
          <w:bCs/>
          <w:sz w:val="32"/>
          <w:szCs w:val="32"/>
          <w:highlight w:val="none"/>
        </w:rPr>
        <w:t>二、特殊标准和技术规范</w:t>
      </w:r>
      <w:bookmarkEnd w:id="1862"/>
    </w:p>
    <w:p>
      <w:pPr>
        <w:adjustRightInd w:val="0"/>
        <w:snapToGrid w:val="0"/>
        <w:spacing w:line="360" w:lineRule="auto"/>
        <w:ind w:firstLine="422" w:firstLineChars="200"/>
        <w:rPr>
          <w:rFonts w:hint="eastAsia" w:ascii="宋体" w:hAnsi="宋体" w:eastAsia="宋体" w:cs="宋体"/>
          <w:b/>
          <w:szCs w:val="21"/>
          <w:highlight w:val="none"/>
        </w:rPr>
      </w:pPr>
      <w:r>
        <w:rPr>
          <w:rFonts w:hint="eastAsia" w:ascii="宋体" w:hAnsi="宋体" w:eastAsia="宋体" w:cs="宋体"/>
          <w:b/>
          <w:szCs w:val="21"/>
          <w:highlight w:val="none"/>
        </w:rPr>
        <w:t>2.特殊标准和技术规范</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2.1根据设计要求，本招标工程中下列材料、设备、施工必须相应符合下列标准和技术规范的要求（列出特殊的材料、设备、施工及相应标准和技术规范名称）：</w:t>
      </w:r>
    </w:p>
    <w:p>
      <w:pPr>
        <w:adjustRightInd w:val="0"/>
        <w:snapToGrid w:val="0"/>
        <w:spacing w:line="360" w:lineRule="auto"/>
        <w:rPr>
          <w:szCs w:val="21"/>
          <w:highlight w:val="none"/>
          <w:u w:val="single"/>
        </w:rPr>
      </w:pPr>
      <w:r>
        <w:rPr>
          <w:rFonts w:hint="eastAsia" w:ascii="宋体" w:hAnsi="宋体" w:eastAsia="宋体" w:cs="宋体"/>
          <w:highlight w:val="none"/>
        </w:rPr>
        <w:t>特殊标准和技术规范</w:t>
      </w:r>
      <w:r>
        <w:rPr>
          <w:highlight w:val="none"/>
        </w:rPr>
        <w:br w:type="page"/>
      </w:r>
    </w:p>
    <w:p>
      <w:pPr>
        <w:spacing w:line="360" w:lineRule="auto"/>
        <w:jc w:val="center"/>
        <w:outlineLvl w:val="1"/>
        <w:rPr>
          <w:rFonts w:hint="eastAsia" w:ascii="黑体" w:hAnsi="黑体" w:eastAsia="黑体" w:cs="黑体"/>
          <w:b w:val="0"/>
          <w:bCs/>
          <w:sz w:val="32"/>
          <w:szCs w:val="32"/>
          <w:highlight w:val="none"/>
        </w:rPr>
      </w:pPr>
      <w:bookmarkStart w:id="1863" w:name="_Toc21379"/>
      <w:r>
        <w:rPr>
          <w:rFonts w:hint="eastAsia" w:ascii="黑体" w:hAnsi="黑体" w:eastAsia="黑体" w:cs="黑体"/>
          <w:b w:val="0"/>
          <w:bCs/>
          <w:sz w:val="32"/>
          <w:szCs w:val="32"/>
          <w:highlight w:val="none"/>
        </w:rPr>
        <w:t>三、工程技术要求</w:t>
      </w:r>
      <w:bookmarkEnd w:id="1863"/>
    </w:p>
    <w:p>
      <w:pPr>
        <w:adjustRightInd w:val="0"/>
        <w:snapToGrid w:val="0"/>
        <w:spacing w:line="360" w:lineRule="auto"/>
        <w:ind w:firstLine="420" w:firstLineChars="200"/>
        <w:rPr>
          <w:highlight w:val="none"/>
        </w:rPr>
      </w:pPr>
      <w:r>
        <w:rPr>
          <w:rFonts w:hint="eastAsia" w:ascii="宋体" w:hAnsi="宋体" w:eastAsia="宋体" w:cs="宋体"/>
          <w:szCs w:val="21"/>
          <w:highlight w:val="none"/>
        </w:rPr>
        <w:t>工程技术要求</w:t>
      </w:r>
      <w:r>
        <w:rPr>
          <w:highlight w:val="none"/>
        </w:rPr>
        <w:br w:type="page"/>
      </w:r>
    </w:p>
    <w:p>
      <w:pPr>
        <w:adjustRightInd w:val="0"/>
        <w:snapToGrid w:val="0"/>
        <w:spacing w:line="360" w:lineRule="auto"/>
        <w:jc w:val="center"/>
        <w:outlineLvl w:val="0"/>
        <w:rPr>
          <w:rFonts w:hint="eastAsia" w:ascii="黑体" w:hAnsi="黑体" w:eastAsia="黑体" w:cs="黑体"/>
          <w:b/>
          <w:sz w:val="32"/>
          <w:szCs w:val="32"/>
          <w:highlight w:val="none"/>
        </w:rPr>
      </w:pPr>
      <w:bookmarkStart w:id="1864" w:name="_Toc9826"/>
      <w:r>
        <w:rPr>
          <w:rFonts w:hint="eastAsia" w:ascii="黑体" w:hAnsi="黑体" w:eastAsia="黑体" w:cs="黑体"/>
          <w:b/>
          <w:sz w:val="32"/>
          <w:szCs w:val="32"/>
          <w:highlight w:val="none"/>
        </w:rPr>
        <w:t>第七章  图纸</w:t>
      </w:r>
      <w:bookmarkEnd w:id="1864"/>
    </w:p>
    <w:p>
      <w:pPr>
        <w:spacing w:line="360" w:lineRule="auto"/>
        <w:jc w:val="center"/>
        <w:outlineLvl w:val="1"/>
        <w:rPr>
          <w:rFonts w:hint="eastAsia" w:ascii="黑体" w:hAnsi="黑体" w:eastAsia="黑体" w:cs="黑体"/>
          <w:b/>
          <w:sz w:val="32"/>
          <w:szCs w:val="32"/>
          <w:highlight w:val="none"/>
        </w:rPr>
      </w:pPr>
      <w:bookmarkStart w:id="1865" w:name="_Toc4802"/>
      <w:r>
        <w:rPr>
          <w:rFonts w:hint="eastAsia" w:ascii="黑体" w:hAnsi="黑体" w:eastAsia="黑体" w:cs="黑体"/>
          <w:b/>
          <w:sz w:val="32"/>
          <w:szCs w:val="32"/>
          <w:highlight w:val="none"/>
        </w:rPr>
        <w:t>一、图纸清单</w:t>
      </w:r>
      <w:bookmarkEnd w:id="1865"/>
    </w:p>
    <w:p>
      <w:pPr>
        <w:adjustRightInd w:val="0"/>
        <w:snapToGrid w:val="0"/>
        <w:spacing w:line="360" w:lineRule="auto"/>
        <w:ind w:firstLine="420" w:firstLineChars="200"/>
        <w:rPr>
          <w:highlight w:val="none"/>
        </w:rPr>
      </w:pPr>
      <w:r>
        <w:rPr>
          <w:rFonts w:hint="eastAsia" w:ascii="宋体" w:hAnsi="宋体" w:eastAsia="宋体" w:cs="宋体"/>
          <w:szCs w:val="21"/>
          <w:highlight w:val="none"/>
        </w:rPr>
        <w:t>图纸清单</w:t>
      </w:r>
      <w:r>
        <w:rPr>
          <w:highlight w:val="none"/>
        </w:rPr>
        <w:br w:type="page"/>
      </w:r>
    </w:p>
    <w:p>
      <w:pPr>
        <w:spacing w:line="360" w:lineRule="auto"/>
        <w:jc w:val="center"/>
        <w:outlineLvl w:val="1"/>
        <w:rPr>
          <w:rFonts w:hint="eastAsia" w:ascii="黑体" w:hAnsi="黑体" w:eastAsia="黑体" w:cs="黑体"/>
          <w:b w:val="0"/>
          <w:bCs/>
          <w:sz w:val="32"/>
          <w:szCs w:val="32"/>
          <w:highlight w:val="none"/>
        </w:rPr>
      </w:pPr>
      <w:bookmarkStart w:id="1866" w:name="_Toc25177"/>
      <w:r>
        <w:rPr>
          <w:rFonts w:hint="eastAsia" w:ascii="黑体" w:hAnsi="黑体" w:eastAsia="黑体" w:cs="黑体"/>
          <w:b w:val="0"/>
          <w:bCs/>
          <w:sz w:val="32"/>
          <w:szCs w:val="32"/>
          <w:highlight w:val="none"/>
        </w:rPr>
        <w:t>二、标准图集清单</w:t>
      </w:r>
      <w:bookmarkEnd w:id="1866"/>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以下标准图集，限于招标文件中指明的章节和内容，构成图纸的一部分。</w:t>
      </w:r>
    </w:p>
    <w:p>
      <w:pPr>
        <w:adjustRightInd w:val="0"/>
        <w:snapToGrid w:val="0"/>
        <w:spacing w:line="360" w:lineRule="auto"/>
        <w:ind w:firstLine="420" w:firstLineChars="200"/>
        <w:rPr>
          <w:highlight w:val="none"/>
        </w:rPr>
      </w:pPr>
      <w:r>
        <w:rPr>
          <w:rFonts w:hint="eastAsia" w:ascii="宋体" w:hAnsi="宋体" w:eastAsia="宋体" w:cs="宋体"/>
          <w:szCs w:val="21"/>
          <w:highlight w:val="none"/>
        </w:rPr>
        <w:t>标准图集清单</w:t>
      </w:r>
      <w:r>
        <w:rPr>
          <w:rFonts w:hint="eastAsia" w:ascii="宋体" w:hAnsi="宋体" w:eastAsia="宋体" w:cs="宋体"/>
          <w:highlight w:val="none"/>
        </w:rPr>
        <w:br w:type="page"/>
      </w:r>
    </w:p>
    <w:p>
      <w:pPr>
        <w:adjustRightInd w:val="0"/>
        <w:snapToGrid w:val="0"/>
        <w:spacing w:line="360" w:lineRule="auto"/>
        <w:jc w:val="center"/>
        <w:outlineLvl w:val="0"/>
        <w:rPr>
          <w:rFonts w:hint="eastAsia" w:ascii="黑体" w:hAnsi="黑体" w:eastAsia="黑体" w:cs="黑体"/>
          <w:b w:val="0"/>
          <w:bCs/>
          <w:sz w:val="32"/>
          <w:szCs w:val="32"/>
          <w:highlight w:val="none"/>
        </w:rPr>
      </w:pPr>
      <w:bookmarkStart w:id="1867" w:name="_Toc10843"/>
      <w:r>
        <w:rPr>
          <w:rFonts w:hint="eastAsia" w:ascii="黑体" w:hAnsi="黑体" w:eastAsia="黑体" w:cs="黑体"/>
          <w:b w:val="0"/>
          <w:bCs/>
          <w:sz w:val="32"/>
          <w:szCs w:val="32"/>
          <w:highlight w:val="none"/>
        </w:rPr>
        <w:t>第八章  工程量清单</w:t>
      </w:r>
      <w:bookmarkEnd w:id="1867"/>
    </w:p>
    <w:p>
      <w:pPr>
        <w:adjustRightInd w:val="0"/>
        <w:snapToGrid w:val="0"/>
        <w:spacing w:line="360" w:lineRule="auto"/>
        <w:jc w:val="center"/>
        <w:outlineLvl w:val="1"/>
        <w:rPr>
          <w:rFonts w:hint="eastAsia" w:ascii="黑体" w:hAnsi="黑体" w:eastAsia="黑体" w:cs="黑体"/>
          <w:b w:val="0"/>
          <w:bCs/>
          <w:sz w:val="32"/>
          <w:szCs w:val="32"/>
          <w:highlight w:val="none"/>
        </w:rPr>
      </w:pPr>
      <w:bookmarkStart w:id="1868" w:name="_Toc3891"/>
      <w:r>
        <w:rPr>
          <w:rFonts w:hint="eastAsia" w:ascii="黑体" w:hAnsi="黑体" w:eastAsia="黑体" w:cs="黑体"/>
          <w:b w:val="0"/>
          <w:bCs/>
          <w:sz w:val="32"/>
          <w:szCs w:val="32"/>
          <w:highlight w:val="none"/>
        </w:rPr>
        <w:t>一、工程量清单的说明及投标报价要求</w:t>
      </w:r>
      <w:bookmarkEnd w:id="1868"/>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1.工程量清单应与投标须知、合同条件、工程建设标准及技术要求和图纸等文件结合起来理解或解释。</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2.按照《计价规程》、《13清单计价规范》的规定，“工程量清单格式”组成和主要内容如下：</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(1)清单封面；</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总说明：应包括工程概况（建设规模、工程招标范围、工程特征、自然地理条件）、工期要求、环境保护要求、工程质量、材料、施工的特殊要求、暂列金额、专业工程暂估价及优质优价奖励费情况、工程清单编制依据等；</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(3)工程项目/单项工程汇总表：指本次招标的工程项目所包含的单项工程及每个单项工程所包含的单位工程的汇总，只有一个单位工程时只填写单项工程汇总表。</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(4)分部分项工程量清单；</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(5)措施项目清单汇总表；</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(6)措施项目清单（一）：指按分部分项工程量清单的方式采用综合单价计价的措施项目；</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(7)其他项目清单汇总表；</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(8)材料设备暂估价表；</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(9)计日工表；</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(10)总承包服务费表；</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(11)发包人供应材料设备明细表：指招标人计划自行采购的材料设备的数量价格等情况。</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(12)规费、税金项目清单；</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(13)暂列金额明细表；</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(14)工程建设其他费：指招标人要求投标人完成的工程建设其他费项目。</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(15)设备及工器具购置费：指招标工程中包含的不计算营业税的设备名称、规格、数量等情况。</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3.本工程量清单是根据</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（设计院名称）设计的</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（工程项目名称）图号为</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的设计文件编制的。</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4.本工程要求采用的工程量计算规则，应作为本工程招投标双方进行工程招投标和结算计量、计价的共同依据。</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5.本工程要求采用的工程量计算规则是《13清单计价规范》及《13清单计价规范》补充规范（深圳2013）。</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6.对“分部分项工程量清单”的说明和报价要求：</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⑴.该清单所列的工程量系招标人的估算，是临时的，是投标人报价的共同基础。不被理解为是对招标人要求工作内容的全部定义，也不能作为投标人应完成的实际工程量。结算时，应以由发、承包双方在合同中约定应予计量且实际完成的工程量确定。</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⑵.该清单中所填入的综合单价和合价应包括人工费、材料费、施工机械使用费和企业管理费与利润，以及一定范围内的风险费用。招标人计划自行采购的材料设备单价不计入综合单价报价中。</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⑶.该清单中的每一单项均需填写综合单价和合价，对没有填写综合单价和合价的项目，其费用视为已包括在清单的其他综合单价或合价之中，同时投标人应清楚地加以说明。</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⑷.该清单中不再重复或概括工程及材料的一般说明，在编制和填写工程量清单的每一项的综合单价和合价时应参考投标须知和合同条件的有关条款。</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⑸.针对该清单，要求投标人报价时提供“工程量清单综合单价分析表”。</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7.对“措施项目清单”的说明和报价要求：</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⑴.该清单所列项目是招标人根据一般情况估计的项目，投标人实际措施项目不同的，可以对具体列项内容进行调整或补充。增补的内容列在措施项目清单“其他”项目中。</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⑵.该清单中以“项”为单位的措施项目，投标人填报的价格应包括除规费、税金外的全部费用。</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措施项目中可以计算工程量的项目，投标人应根据招标人在“措施项目清单（一）”提供的工程量填报综合单价和合价。该清单所列的工程量系招标人的估算，是临时的，是投标人报价的共同基础。不被理解为是对招标人要求工作内容的全部定义，也不能作为投标人应完成的实际工程量。所填入的综合单价和合价应包括人工费、材料费、施工机械使用费和企业管理费与利润，以及一定范围内的风险费用。</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⑶.针对该清单，要求投标人报价时提供“措施项目清单与计价表（二）”。</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⑷.该清单中列入了“安全文明施工措施费”，该费用包括临时设施费、安全施工费、文明施工费、环境保护费。编制招标控制价时，招标人将按《〈建设工程工程清单计价规范〉补充规范（深圳2013）》中安全文明施工措施费详细清单所列基本项目和现行《深圳市建设工程计价费率标准》中的费率确定“安全文明施工措施费”费用，计入招标控制价，并在公布招标控制价时明确该项费用的具体金额，作为非竞争性费用。不编制招标控制价时，招标人按现行《深圳市建设工程计价费率标准》中的费率确定“安全文明施工措施费”费用。</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投标人应当按照本招标文件的规定，在《〈建设工程工程清单计价规范〉补充规范（深圳2013）》中“安全文明施工措施费详细清单”所列基本项目基础上，结合工程实际及施工组织设计或施工方案，补充所需的特定安全文明施工措施项目，编制“安全文明施工措施费详细清单”，列出项目编码、项目名称、项目特征、计量单位和工程量，填报综合单价，并将该表合价合计金额计入投标总价。</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⑸.计划施工总工期相比按《深圳市建设工程施工工期标准》计算所得标准工期压缩超过30%时，该清单中列入“夜间施工费和赶工措施费”，该费用为工期压缩导致施工投入增加的补偿。编制招标控制价时，招标人将按现行的《深圳市建设工程计价费率标准》中的费率确定“夜间施工费和赶工措施费”费用，计入招标控制价。</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投标人应当按照本招标文件的规定，结合自身实际及施工组织设计或施工方案，确定投标工期，自主填报夜间施工费和赶工措施费，并计入投标总价。</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8.对“其他项目清单”的说明和报价要求：</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材料设备暂估价指招标人提供的用于支付必然发生但暂时不能确定价格的材料、设备的清单。投标时，投标人应将材料设备的暂估单价计入分部分项工程量清单综合单价报价中。结算时，按发、承包双方最终确认的价格调整价差，价差部分不计利润。</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(2)计日工指招标人提出的施工图纸以外的零星项目或工作。投标时，投标人应根据招标人提出的计日工表的要求自主确定综合单价，计算汇总后计入其他项目清单汇总表。</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总承包服务费包括分包管理费、总分包配合费、发包人供应材料设备保管费。投标时，投标人根据招标人提出的分包专业工程内容和供应材料、设备情况，按照招标人提出的协调、配合与服务内容和施工现场管理需要，自主确定总承包服务费各项目费率。其中分包管理费和总分包配合费以分包工程合同造价为计算基数；发包人供应材料设备保管费应根据“发包人供应材料设备明细表”中合计金额为计算基数。</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9.工程量清单作为本招标文件的组成部分，其准确性和完整性由招标人负责。如发现招标人提供的工程量清单的项目及工程量与图纸实际不符时，除招标文件另有要求外，投标人应在截标前9天向招标人提出，招标人应进行复核并用书面发出修正，分送所有投标人。如招标人没有做出修正，投标人仍应按原提供的项目及工程量报价。</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10.所有报价应以本招标文件投标须知19.1约定的币种表示。</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11.特别提示：</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*规费税金项目应按国家和深圳市法律法规计算，作为非竞争性费用。</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暂列金额是招标人在工程量清单中暂定并包括在合同价款中的一笔款项。用于施工合同签订时尚未确定或者不可预见的所需材料、设备、服务的采购，施工中可能发生的工程变更、合同约定调整因素出现时的工程价款调整以及发生的索赔、现场签证确认等的费用。投标时，投标人按照招标人提供的“暂列金额明细表”中所列项目和金额填报，不得修改，且计入投标总价。</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*专业工程暂估价是招标人提供的用于支付必然发生但暂时不能确定的专业工程金额。投标人按招标人所列金额填报并计入投标总价。</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*为鼓励承包人提供优质服务、建设优质工程，本招标工程设置优质优价奖励费。招标人按照本招标文件对优质优价工程的评价与奖励标准计算优质优质奖励费。投标时，投标人按招标人列出的金额填写。</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*投标人按本招标文件要求和招标人提供的工程建设其他费项目内容填报价格。工程建设其他费不作为规费、税金的计算基数，结算时，发、承包双方依据合同约定确定。</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*投标人按招标人提供的“设备及工器具购置费表”中所列设备名称、型号规格、单位和数量填报价格。设备及工器具购置费不作为规费、税金的计算基数，结算时，发、承包双方依据合同约定计算。</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12.投标人在投标文件中列明的工程机械、装卸机械应满足国家现阶段非道路移动机械用柴油机排放标准，鼓励使用LNG或电动工程机械、装卸机械。</w:t>
      </w:r>
    </w:p>
    <w:p>
      <w:pPr>
        <w:adjustRightInd w:val="0"/>
        <w:snapToGrid w:val="0"/>
        <w:spacing w:line="360" w:lineRule="auto"/>
        <w:ind w:firstLine="420" w:firstLineChars="200"/>
        <w:rPr>
          <w:highlight w:val="none"/>
        </w:rPr>
      </w:pPr>
      <w:r>
        <w:rPr>
          <w:rFonts w:hint="eastAsia" w:ascii="宋体" w:hAnsi="宋体" w:eastAsia="宋体" w:cs="宋体"/>
          <w:szCs w:val="21"/>
          <w:highlight w:val="none"/>
        </w:rPr>
        <w:t>13.其他。</w:t>
      </w:r>
      <w:r>
        <w:rPr>
          <w:highlight w:val="none"/>
        </w:rPr>
        <w:br w:type="page"/>
      </w:r>
    </w:p>
    <w:p>
      <w:pPr>
        <w:adjustRightInd w:val="0"/>
        <w:snapToGrid w:val="0"/>
        <w:spacing w:line="360" w:lineRule="auto"/>
        <w:jc w:val="center"/>
        <w:outlineLvl w:val="1"/>
        <w:rPr>
          <w:rFonts w:hint="eastAsia" w:ascii="黑体" w:hAnsi="黑体" w:eastAsia="黑体" w:cs="黑体"/>
          <w:b w:val="0"/>
          <w:bCs/>
          <w:sz w:val="32"/>
          <w:szCs w:val="32"/>
          <w:highlight w:val="none"/>
        </w:rPr>
      </w:pPr>
      <w:bookmarkStart w:id="1869" w:name="_Toc18054"/>
      <w:r>
        <w:rPr>
          <w:rFonts w:hint="eastAsia" w:ascii="黑体" w:hAnsi="黑体" w:eastAsia="黑体" w:cs="黑体"/>
          <w:b w:val="0"/>
          <w:bCs/>
          <w:sz w:val="32"/>
          <w:szCs w:val="32"/>
          <w:highlight w:val="none"/>
        </w:rPr>
        <w:t>二、工程量清单格式</w:t>
      </w:r>
      <w:bookmarkEnd w:id="1869"/>
    </w:p>
    <w:p>
      <w:pPr>
        <w:adjustRightInd w:val="0"/>
        <w:snapToGrid w:val="0"/>
        <w:spacing w:line="360" w:lineRule="auto"/>
        <w:rPr>
          <w:sz w:val="30"/>
          <w:szCs w:val="30"/>
          <w:highlight w:val="none"/>
        </w:rPr>
      </w:pPr>
    </w:p>
    <w:tbl>
      <w:tblPr>
        <w:tblStyle w:val="39"/>
        <w:tblW w:w="9289"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76"/>
        <w:gridCol w:w="3191"/>
        <w:gridCol w:w="1631"/>
        <w:gridCol w:w="28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9289" w:type="dxa"/>
            <w:gridSpan w:val="4"/>
            <w:shd w:val="clear" w:color="auto" w:fill="auto"/>
            <w:vAlign w:val="center"/>
          </w:tcPr>
          <w:p>
            <w:pPr>
              <w:adjustRightInd w:val="0"/>
              <w:snapToGrid w:val="0"/>
              <w:spacing w:line="360" w:lineRule="auto"/>
              <w:jc w:val="center"/>
              <w:rPr>
                <w:rFonts w:ascii="Times New Roman" w:hAnsi="Times New Roman" w:eastAsia="宋体" w:cs="Times New Roman"/>
                <w:b/>
                <w:bCs/>
                <w:kern w:val="0"/>
                <w:sz w:val="20"/>
                <w:szCs w:val="20"/>
                <w:highlight w:val="none"/>
                <w:u w:val="single"/>
              </w:rPr>
            </w:pPr>
            <w:r>
              <w:rPr>
                <w:rFonts w:ascii="Times New Roman" w:hAnsi="Times New Roman" w:eastAsia="宋体" w:cs="Times New Roman"/>
                <w:b/>
                <w:bCs/>
                <w:kern w:val="0"/>
                <w:sz w:val="20"/>
                <w:szCs w:val="20"/>
                <w:highlight w:val="none"/>
                <w:u w:val="single"/>
              </w:rPr>
              <w:t>__________________________________</w:t>
            </w:r>
            <w:r>
              <w:rPr>
                <w:rFonts w:hint="eastAsia" w:ascii="Times New Roman" w:hAnsi="Times New Roman" w:eastAsia="宋体" w:cs="Times New Roman"/>
                <w:b/>
                <w:bCs/>
                <w:kern w:val="0"/>
                <w:sz w:val="20"/>
                <w:szCs w:val="20"/>
                <w:highlight w:val="none"/>
              </w:rPr>
              <w:t>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9289" w:type="dxa"/>
            <w:gridSpan w:val="4"/>
            <w:shd w:val="clear" w:color="auto" w:fill="auto"/>
            <w:vAlign w:val="center"/>
          </w:tcPr>
          <w:p>
            <w:pPr>
              <w:adjustRightInd w:val="0"/>
              <w:snapToGrid w:val="0"/>
              <w:spacing w:line="360" w:lineRule="auto"/>
              <w:jc w:val="center"/>
              <w:rPr>
                <w:rFonts w:ascii="Times New Roman" w:hAnsi="Times New Roman" w:eastAsia="宋体" w:cs="Times New Roman"/>
                <w:b/>
                <w:bCs/>
                <w:kern w:val="0"/>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9289" w:type="dxa"/>
            <w:gridSpan w:val="4"/>
            <w:shd w:val="clear" w:color="auto" w:fill="auto"/>
            <w:vAlign w:val="center"/>
          </w:tcPr>
          <w:p>
            <w:pPr>
              <w:adjustRightInd w:val="0"/>
              <w:snapToGrid w:val="0"/>
              <w:spacing w:line="360" w:lineRule="auto"/>
              <w:jc w:val="center"/>
              <w:rPr>
                <w:rFonts w:ascii="Times New Roman" w:hAnsi="Times New Roman" w:eastAsia="宋体" w:cs="Times New Roman"/>
                <w:b/>
                <w:bCs/>
                <w:kern w:val="0"/>
                <w:sz w:val="32"/>
                <w:szCs w:val="32"/>
                <w:highlight w:val="none"/>
              </w:rPr>
            </w:pPr>
            <w:r>
              <w:rPr>
                <w:rFonts w:hint="eastAsia" w:ascii="Times New Roman" w:hAnsi="Times New Roman" w:eastAsia="宋体" w:cs="Times New Roman"/>
                <w:b/>
                <w:bCs/>
                <w:kern w:val="0"/>
                <w:sz w:val="32"/>
                <w:szCs w:val="32"/>
                <w:highlight w:val="none"/>
              </w:rPr>
              <w:t>工  程  量  清  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9289" w:type="dxa"/>
            <w:gridSpan w:val="4"/>
            <w:shd w:val="clear" w:color="auto" w:fill="auto"/>
            <w:vAlign w:val="center"/>
          </w:tcPr>
          <w:p>
            <w:pPr>
              <w:adjustRightInd w:val="0"/>
              <w:snapToGrid w:val="0"/>
              <w:spacing w:line="360" w:lineRule="auto"/>
              <w:jc w:val="left"/>
              <w:rPr>
                <w:rFonts w:ascii="Times New Roman" w:hAnsi="Times New Roman" w:eastAsia="宋体" w:cs="Times New Roman"/>
                <w:kern w:val="0"/>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576" w:type="dxa"/>
            <w:shd w:val="clear" w:color="auto" w:fill="auto"/>
            <w:vAlign w:val="center"/>
          </w:tcPr>
          <w:p>
            <w:pPr>
              <w:adjustRightInd w:val="0"/>
              <w:snapToGrid w:val="0"/>
              <w:spacing w:line="360" w:lineRule="auto"/>
              <w:jc w:val="left"/>
              <w:rPr>
                <w:rFonts w:ascii="Times New Roman" w:hAnsi="Times New Roman" w:eastAsia="宋体" w:cs="Times New Roman"/>
                <w:kern w:val="0"/>
                <w:sz w:val="20"/>
                <w:szCs w:val="21"/>
                <w:highlight w:val="none"/>
              </w:rPr>
            </w:pPr>
          </w:p>
        </w:tc>
        <w:tc>
          <w:tcPr>
            <w:tcW w:w="3191" w:type="dxa"/>
            <w:shd w:val="clear" w:color="auto" w:fill="auto"/>
            <w:vAlign w:val="center"/>
          </w:tcPr>
          <w:p>
            <w:pPr>
              <w:adjustRightInd w:val="0"/>
              <w:snapToGrid w:val="0"/>
              <w:spacing w:line="360" w:lineRule="auto"/>
              <w:jc w:val="left"/>
              <w:rPr>
                <w:rFonts w:ascii="Times New Roman" w:hAnsi="Times New Roman" w:eastAsia="宋体" w:cs="Times New Roman"/>
                <w:kern w:val="0"/>
                <w:sz w:val="20"/>
                <w:szCs w:val="21"/>
                <w:highlight w:val="none"/>
              </w:rPr>
            </w:pPr>
          </w:p>
        </w:tc>
        <w:tc>
          <w:tcPr>
            <w:tcW w:w="1631" w:type="dxa"/>
            <w:shd w:val="clear" w:color="auto" w:fill="auto"/>
            <w:vAlign w:val="center"/>
          </w:tcPr>
          <w:p>
            <w:pPr>
              <w:adjustRightInd w:val="0"/>
              <w:snapToGrid w:val="0"/>
              <w:spacing w:line="360" w:lineRule="auto"/>
              <w:ind w:firstLine="200" w:firstLineChars="100"/>
              <w:jc w:val="left"/>
              <w:rPr>
                <w:rFonts w:ascii="Times New Roman" w:hAnsi="Times New Roman" w:eastAsia="宋体" w:cs="Times New Roman"/>
                <w:kern w:val="0"/>
                <w:sz w:val="20"/>
                <w:szCs w:val="21"/>
                <w:highlight w:val="none"/>
              </w:rPr>
            </w:pPr>
            <w:r>
              <w:rPr>
                <w:rFonts w:hint="eastAsia" w:ascii="Times New Roman" w:hAnsi="Times New Roman" w:eastAsia="宋体" w:cs="Times New Roman"/>
                <w:kern w:val="0"/>
                <w:sz w:val="20"/>
                <w:szCs w:val="21"/>
                <w:highlight w:val="none"/>
              </w:rPr>
              <w:t>工 程 造 价</w:t>
            </w:r>
          </w:p>
        </w:tc>
        <w:tc>
          <w:tcPr>
            <w:tcW w:w="2891" w:type="dxa"/>
            <w:shd w:val="clear" w:color="auto" w:fill="auto"/>
            <w:vAlign w:val="center"/>
          </w:tcPr>
          <w:p>
            <w:pPr>
              <w:adjustRightInd w:val="0"/>
              <w:snapToGrid w:val="0"/>
              <w:spacing w:line="360" w:lineRule="auto"/>
              <w:jc w:val="left"/>
              <w:rPr>
                <w:rFonts w:ascii="Times New Roman" w:hAnsi="Times New Roman" w:eastAsia="宋体" w:cs="Times New Roman"/>
                <w:kern w:val="0"/>
                <w:sz w:val="20"/>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576" w:type="dxa"/>
            <w:shd w:val="clear" w:color="auto" w:fill="auto"/>
            <w:vAlign w:val="center"/>
          </w:tcPr>
          <w:p>
            <w:pPr>
              <w:adjustRightInd w:val="0"/>
              <w:snapToGrid w:val="0"/>
              <w:spacing w:line="360" w:lineRule="auto"/>
              <w:rPr>
                <w:rFonts w:ascii="Times New Roman" w:hAnsi="Times New Roman" w:eastAsia="宋体" w:cs="Times New Roman"/>
                <w:kern w:val="0"/>
                <w:sz w:val="20"/>
                <w:szCs w:val="21"/>
                <w:highlight w:val="none"/>
              </w:rPr>
            </w:pPr>
            <w:r>
              <w:rPr>
                <w:rFonts w:hint="eastAsia" w:ascii="Times New Roman" w:hAnsi="Times New Roman" w:eastAsia="宋体" w:cs="Times New Roman"/>
                <w:kern w:val="0"/>
                <w:sz w:val="20"/>
                <w:szCs w:val="21"/>
                <w:highlight w:val="none"/>
              </w:rPr>
              <w:t>招  标  人：</w:t>
            </w:r>
          </w:p>
        </w:tc>
        <w:tc>
          <w:tcPr>
            <w:tcW w:w="3191" w:type="dxa"/>
            <w:shd w:val="clear" w:color="auto" w:fill="auto"/>
            <w:vAlign w:val="center"/>
          </w:tcPr>
          <w:p>
            <w:pPr>
              <w:adjustRightInd w:val="0"/>
              <w:snapToGrid w:val="0"/>
              <w:spacing w:line="360" w:lineRule="auto"/>
              <w:jc w:val="center"/>
              <w:rPr>
                <w:rFonts w:ascii="Times New Roman" w:hAnsi="Times New Roman" w:eastAsia="宋体" w:cs="Times New Roman"/>
                <w:kern w:val="0"/>
                <w:sz w:val="20"/>
                <w:szCs w:val="21"/>
                <w:highlight w:val="none"/>
                <w:u w:val="single"/>
              </w:rPr>
            </w:pPr>
            <w:r>
              <w:rPr>
                <w:rFonts w:ascii="Times New Roman" w:hAnsi="Times New Roman" w:eastAsia="宋体" w:cs="Times New Roman"/>
                <w:kern w:val="0"/>
                <w:sz w:val="20"/>
                <w:szCs w:val="21"/>
                <w:highlight w:val="none"/>
                <w:u w:val="single"/>
              </w:rPr>
              <w:t>_________________________</w:t>
            </w:r>
          </w:p>
        </w:tc>
        <w:tc>
          <w:tcPr>
            <w:tcW w:w="1631" w:type="dxa"/>
            <w:shd w:val="clear" w:color="auto" w:fill="auto"/>
            <w:vAlign w:val="center"/>
          </w:tcPr>
          <w:p>
            <w:pPr>
              <w:adjustRightInd w:val="0"/>
              <w:snapToGrid w:val="0"/>
              <w:spacing w:line="360" w:lineRule="auto"/>
              <w:jc w:val="right"/>
              <w:rPr>
                <w:rFonts w:ascii="Times New Roman" w:hAnsi="Times New Roman" w:eastAsia="宋体" w:cs="Times New Roman"/>
                <w:kern w:val="0"/>
                <w:sz w:val="20"/>
                <w:szCs w:val="21"/>
                <w:highlight w:val="none"/>
              </w:rPr>
            </w:pPr>
            <w:r>
              <w:rPr>
                <w:rFonts w:hint="eastAsia" w:ascii="Times New Roman" w:hAnsi="Times New Roman" w:eastAsia="宋体" w:cs="Times New Roman"/>
                <w:kern w:val="0"/>
                <w:sz w:val="20"/>
                <w:szCs w:val="21"/>
                <w:highlight w:val="none"/>
              </w:rPr>
              <w:t>咨  询  人：</w:t>
            </w:r>
          </w:p>
        </w:tc>
        <w:tc>
          <w:tcPr>
            <w:tcW w:w="2891" w:type="dxa"/>
            <w:shd w:val="clear" w:color="auto" w:fill="auto"/>
            <w:vAlign w:val="center"/>
          </w:tcPr>
          <w:p>
            <w:pPr>
              <w:adjustRightInd w:val="0"/>
              <w:snapToGrid w:val="0"/>
              <w:spacing w:line="360" w:lineRule="auto"/>
              <w:rPr>
                <w:rFonts w:ascii="Times New Roman" w:hAnsi="Times New Roman" w:eastAsia="宋体" w:cs="Times New Roman"/>
                <w:kern w:val="0"/>
                <w:sz w:val="20"/>
                <w:szCs w:val="21"/>
                <w:highlight w:val="none"/>
                <w:u w:val="single"/>
              </w:rPr>
            </w:pPr>
            <w:r>
              <w:rPr>
                <w:rFonts w:ascii="Times New Roman" w:hAnsi="Times New Roman" w:eastAsia="宋体" w:cs="Times New Roman"/>
                <w:kern w:val="0"/>
                <w:sz w:val="20"/>
                <w:szCs w:val="21"/>
                <w:highlight w:val="none"/>
                <w:u w:val="single"/>
              </w:rPr>
              <w:t>_________________________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576" w:type="dxa"/>
            <w:shd w:val="clear" w:color="auto" w:fill="auto"/>
            <w:vAlign w:val="center"/>
          </w:tcPr>
          <w:p>
            <w:pPr>
              <w:adjustRightInd w:val="0"/>
              <w:snapToGrid w:val="0"/>
              <w:spacing w:line="360" w:lineRule="auto"/>
              <w:jc w:val="left"/>
              <w:rPr>
                <w:rFonts w:ascii="Times New Roman" w:hAnsi="Times New Roman" w:eastAsia="宋体" w:cs="Times New Roman"/>
                <w:kern w:val="0"/>
                <w:sz w:val="20"/>
                <w:szCs w:val="21"/>
                <w:highlight w:val="none"/>
              </w:rPr>
            </w:pPr>
          </w:p>
        </w:tc>
        <w:tc>
          <w:tcPr>
            <w:tcW w:w="3191" w:type="dxa"/>
            <w:shd w:val="clear" w:color="auto" w:fill="auto"/>
            <w:vAlign w:val="center"/>
          </w:tcPr>
          <w:p>
            <w:pPr>
              <w:adjustRightInd w:val="0"/>
              <w:snapToGrid w:val="0"/>
              <w:spacing w:line="360" w:lineRule="auto"/>
              <w:jc w:val="center"/>
              <w:rPr>
                <w:rFonts w:ascii="Times New Roman" w:hAnsi="Times New Roman" w:eastAsia="宋体" w:cs="Times New Roman"/>
                <w:kern w:val="0"/>
                <w:sz w:val="20"/>
                <w:szCs w:val="21"/>
                <w:highlight w:val="none"/>
              </w:rPr>
            </w:pPr>
            <w:r>
              <w:rPr>
                <w:rFonts w:hint="eastAsia" w:ascii="Times New Roman" w:hAnsi="Times New Roman" w:eastAsia="宋体" w:cs="Times New Roman"/>
                <w:kern w:val="0"/>
                <w:sz w:val="15"/>
                <w:szCs w:val="15"/>
                <w:highlight w:val="none"/>
              </w:rPr>
              <w:t>（单位盖章）</w:t>
            </w:r>
          </w:p>
        </w:tc>
        <w:tc>
          <w:tcPr>
            <w:tcW w:w="1631" w:type="dxa"/>
            <w:shd w:val="clear" w:color="auto" w:fill="auto"/>
            <w:vAlign w:val="center"/>
          </w:tcPr>
          <w:p>
            <w:pPr>
              <w:adjustRightInd w:val="0"/>
              <w:snapToGrid w:val="0"/>
              <w:spacing w:line="360" w:lineRule="auto"/>
              <w:jc w:val="left"/>
              <w:rPr>
                <w:rFonts w:ascii="Times New Roman" w:hAnsi="Times New Roman" w:eastAsia="宋体" w:cs="Times New Roman"/>
                <w:kern w:val="0"/>
                <w:sz w:val="20"/>
                <w:szCs w:val="21"/>
                <w:highlight w:val="none"/>
              </w:rPr>
            </w:pPr>
          </w:p>
        </w:tc>
        <w:tc>
          <w:tcPr>
            <w:tcW w:w="2891" w:type="dxa"/>
            <w:shd w:val="clear" w:color="auto" w:fill="auto"/>
            <w:vAlign w:val="center"/>
          </w:tcPr>
          <w:p>
            <w:pPr>
              <w:adjustRightInd w:val="0"/>
              <w:snapToGrid w:val="0"/>
              <w:spacing w:line="360" w:lineRule="auto"/>
              <w:jc w:val="center"/>
              <w:rPr>
                <w:rFonts w:ascii="Times New Roman" w:hAnsi="Times New Roman" w:eastAsia="宋体" w:cs="Times New Roman"/>
                <w:kern w:val="0"/>
                <w:sz w:val="15"/>
                <w:szCs w:val="15"/>
                <w:highlight w:val="none"/>
              </w:rPr>
            </w:pPr>
            <w:r>
              <w:rPr>
                <w:rFonts w:hint="eastAsia" w:ascii="Times New Roman" w:hAnsi="Times New Roman" w:eastAsia="宋体" w:cs="Times New Roman"/>
                <w:kern w:val="0"/>
                <w:sz w:val="15"/>
                <w:szCs w:val="15"/>
                <w:highlight w:val="none"/>
              </w:rPr>
              <w:t>（单位公章及资质专用章）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9289" w:type="dxa"/>
            <w:gridSpan w:val="4"/>
            <w:shd w:val="clear" w:color="auto" w:fill="auto"/>
            <w:vAlign w:val="center"/>
          </w:tcPr>
          <w:p>
            <w:pPr>
              <w:adjustRightInd w:val="0"/>
              <w:snapToGrid w:val="0"/>
              <w:spacing w:line="360" w:lineRule="auto"/>
              <w:jc w:val="center"/>
              <w:rPr>
                <w:rFonts w:ascii="Times New Roman" w:hAnsi="Times New Roman" w:eastAsia="宋体" w:cs="Times New Roman"/>
                <w:kern w:val="0"/>
                <w:sz w:val="20"/>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576" w:type="dxa"/>
            <w:shd w:val="clear" w:color="auto" w:fill="auto"/>
            <w:vAlign w:val="center"/>
          </w:tcPr>
          <w:p>
            <w:pPr>
              <w:adjustRightInd w:val="0"/>
              <w:snapToGrid w:val="0"/>
              <w:spacing w:line="360" w:lineRule="auto"/>
              <w:jc w:val="center"/>
              <w:rPr>
                <w:rFonts w:ascii="Times New Roman" w:hAnsi="Times New Roman" w:eastAsia="宋体" w:cs="Times New Roman"/>
                <w:kern w:val="0"/>
                <w:sz w:val="20"/>
                <w:szCs w:val="21"/>
                <w:highlight w:val="none"/>
              </w:rPr>
            </w:pPr>
            <w:r>
              <w:rPr>
                <w:rFonts w:hint="eastAsia" w:ascii="Times New Roman" w:hAnsi="Times New Roman" w:eastAsia="宋体" w:cs="Times New Roman"/>
                <w:kern w:val="0"/>
                <w:sz w:val="20"/>
                <w:szCs w:val="21"/>
                <w:highlight w:val="none"/>
              </w:rPr>
              <w:t>法定代表人</w:t>
            </w:r>
          </w:p>
        </w:tc>
        <w:tc>
          <w:tcPr>
            <w:tcW w:w="3191" w:type="dxa"/>
            <w:shd w:val="clear" w:color="auto" w:fill="auto"/>
            <w:vAlign w:val="center"/>
          </w:tcPr>
          <w:p>
            <w:pPr>
              <w:adjustRightInd w:val="0"/>
              <w:snapToGrid w:val="0"/>
              <w:spacing w:line="360" w:lineRule="auto"/>
              <w:jc w:val="center"/>
              <w:rPr>
                <w:rFonts w:ascii="Times New Roman" w:hAnsi="Times New Roman" w:eastAsia="宋体" w:cs="Times New Roman"/>
                <w:kern w:val="0"/>
                <w:sz w:val="20"/>
                <w:szCs w:val="21"/>
                <w:highlight w:val="none"/>
              </w:rPr>
            </w:pPr>
          </w:p>
        </w:tc>
        <w:tc>
          <w:tcPr>
            <w:tcW w:w="1631" w:type="dxa"/>
            <w:shd w:val="clear" w:color="auto" w:fill="auto"/>
            <w:vAlign w:val="center"/>
          </w:tcPr>
          <w:p>
            <w:pPr>
              <w:adjustRightInd w:val="0"/>
              <w:snapToGrid w:val="0"/>
              <w:spacing w:line="360" w:lineRule="auto"/>
              <w:ind w:firstLine="100" w:firstLineChars="50"/>
              <w:rPr>
                <w:rFonts w:ascii="Times New Roman" w:hAnsi="Times New Roman" w:eastAsia="宋体" w:cs="Times New Roman"/>
                <w:kern w:val="0"/>
                <w:sz w:val="20"/>
                <w:szCs w:val="21"/>
                <w:highlight w:val="none"/>
              </w:rPr>
            </w:pPr>
            <w:r>
              <w:rPr>
                <w:rFonts w:hint="eastAsia" w:ascii="Times New Roman" w:hAnsi="Times New Roman" w:eastAsia="宋体" w:cs="Times New Roman"/>
                <w:kern w:val="0"/>
                <w:sz w:val="20"/>
                <w:szCs w:val="21"/>
                <w:highlight w:val="none"/>
              </w:rPr>
              <w:t>法定代表人</w:t>
            </w:r>
          </w:p>
        </w:tc>
        <w:tc>
          <w:tcPr>
            <w:tcW w:w="2891" w:type="dxa"/>
            <w:shd w:val="clear" w:color="auto" w:fill="auto"/>
            <w:vAlign w:val="center"/>
          </w:tcPr>
          <w:p>
            <w:pPr>
              <w:adjustRightInd w:val="0"/>
              <w:snapToGrid w:val="0"/>
              <w:spacing w:line="360" w:lineRule="auto"/>
              <w:jc w:val="center"/>
              <w:rPr>
                <w:rFonts w:ascii="Times New Roman" w:hAnsi="Times New Roman" w:eastAsia="宋体" w:cs="Times New Roman"/>
                <w:kern w:val="0"/>
                <w:sz w:val="20"/>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576" w:type="dxa"/>
            <w:shd w:val="clear" w:color="auto" w:fill="auto"/>
            <w:vAlign w:val="center"/>
          </w:tcPr>
          <w:p>
            <w:pPr>
              <w:adjustRightInd w:val="0"/>
              <w:snapToGrid w:val="0"/>
              <w:spacing w:line="360" w:lineRule="auto"/>
              <w:ind w:right="105"/>
              <w:jc w:val="right"/>
              <w:rPr>
                <w:rFonts w:ascii="Times New Roman" w:hAnsi="Times New Roman" w:eastAsia="宋体" w:cs="Times New Roman"/>
                <w:kern w:val="0"/>
                <w:sz w:val="20"/>
                <w:szCs w:val="21"/>
                <w:highlight w:val="none"/>
              </w:rPr>
            </w:pPr>
            <w:r>
              <w:rPr>
                <w:rFonts w:hint="eastAsia" w:ascii="Times New Roman" w:hAnsi="Times New Roman" w:eastAsia="宋体" w:cs="Times New Roman"/>
                <w:kern w:val="0"/>
                <w:sz w:val="20"/>
                <w:szCs w:val="21"/>
                <w:highlight w:val="none"/>
              </w:rPr>
              <w:t>或其授权人：</w:t>
            </w:r>
          </w:p>
        </w:tc>
        <w:tc>
          <w:tcPr>
            <w:tcW w:w="3191" w:type="dxa"/>
            <w:shd w:val="clear" w:color="auto" w:fill="auto"/>
            <w:vAlign w:val="center"/>
          </w:tcPr>
          <w:p>
            <w:pPr>
              <w:adjustRightInd w:val="0"/>
              <w:snapToGrid w:val="0"/>
              <w:spacing w:line="360" w:lineRule="auto"/>
              <w:jc w:val="center"/>
              <w:rPr>
                <w:rFonts w:ascii="Times New Roman" w:hAnsi="Times New Roman" w:eastAsia="宋体" w:cs="Times New Roman"/>
                <w:kern w:val="0"/>
                <w:sz w:val="20"/>
                <w:szCs w:val="21"/>
                <w:highlight w:val="none"/>
                <w:u w:val="single"/>
              </w:rPr>
            </w:pPr>
            <w:r>
              <w:rPr>
                <w:rFonts w:ascii="Times New Roman" w:hAnsi="Times New Roman" w:eastAsia="宋体" w:cs="Times New Roman"/>
                <w:kern w:val="0"/>
                <w:sz w:val="20"/>
                <w:szCs w:val="21"/>
                <w:highlight w:val="none"/>
                <w:u w:val="single"/>
              </w:rPr>
              <w:t>_________________________</w:t>
            </w:r>
          </w:p>
        </w:tc>
        <w:tc>
          <w:tcPr>
            <w:tcW w:w="1631" w:type="dxa"/>
            <w:shd w:val="clear" w:color="auto" w:fill="auto"/>
            <w:vAlign w:val="center"/>
          </w:tcPr>
          <w:p>
            <w:pPr>
              <w:adjustRightInd w:val="0"/>
              <w:snapToGrid w:val="0"/>
              <w:spacing w:line="360" w:lineRule="auto"/>
              <w:ind w:right="-164" w:rightChars="-78" w:firstLine="100" w:firstLineChars="50"/>
              <w:rPr>
                <w:rFonts w:ascii="Times New Roman" w:hAnsi="Times New Roman" w:eastAsia="宋体" w:cs="Times New Roman"/>
                <w:kern w:val="0"/>
                <w:sz w:val="20"/>
                <w:szCs w:val="21"/>
                <w:highlight w:val="none"/>
              </w:rPr>
            </w:pPr>
            <w:r>
              <w:rPr>
                <w:rFonts w:hint="eastAsia" w:ascii="Times New Roman" w:hAnsi="Times New Roman" w:eastAsia="宋体" w:cs="Times New Roman"/>
                <w:kern w:val="0"/>
                <w:sz w:val="20"/>
                <w:szCs w:val="21"/>
                <w:highlight w:val="none"/>
              </w:rPr>
              <w:t>或其授权人：</w:t>
            </w:r>
          </w:p>
        </w:tc>
        <w:tc>
          <w:tcPr>
            <w:tcW w:w="2891" w:type="dxa"/>
            <w:shd w:val="clear" w:color="auto" w:fill="auto"/>
            <w:vAlign w:val="center"/>
          </w:tcPr>
          <w:p>
            <w:pPr>
              <w:adjustRightInd w:val="0"/>
              <w:snapToGrid w:val="0"/>
              <w:spacing w:line="360" w:lineRule="auto"/>
              <w:rPr>
                <w:rFonts w:ascii="Times New Roman" w:hAnsi="Times New Roman" w:eastAsia="宋体" w:cs="Times New Roman"/>
                <w:kern w:val="0"/>
                <w:sz w:val="20"/>
                <w:szCs w:val="21"/>
                <w:highlight w:val="none"/>
                <w:u w:val="single"/>
              </w:rPr>
            </w:pPr>
            <w:r>
              <w:rPr>
                <w:rFonts w:ascii="Times New Roman" w:hAnsi="Times New Roman" w:eastAsia="宋体" w:cs="Times New Roman"/>
                <w:kern w:val="0"/>
                <w:sz w:val="20"/>
                <w:szCs w:val="21"/>
                <w:highlight w:val="none"/>
                <w:u w:val="single"/>
              </w:rPr>
              <w:t>_________________________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576" w:type="dxa"/>
            <w:shd w:val="clear" w:color="auto" w:fill="auto"/>
            <w:vAlign w:val="center"/>
          </w:tcPr>
          <w:p>
            <w:pPr>
              <w:adjustRightInd w:val="0"/>
              <w:snapToGrid w:val="0"/>
              <w:spacing w:line="360" w:lineRule="auto"/>
              <w:jc w:val="center"/>
              <w:rPr>
                <w:rFonts w:ascii="Times New Roman" w:hAnsi="Times New Roman" w:eastAsia="宋体" w:cs="Times New Roman"/>
                <w:kern w:val="0"/>
                <w:sz w:val="20"/>
                <w:szCs w:val="21"/>
                <w:highlight w:val="none"/>
              </w:rPr>
            </w:pPr>
          </w:p>
        </w:tc>
        <w:tc>
          <w:tcPr>
            <w:tcW w:w="3191" w:type="dxa"/>
            <w:shd w:val="clear" w:color="auto" w:fill="auto"/>
            <w:vAlign w:val="center"/>
          </w:tcPr>
          <w:p>
            <w:pPr>
              <w:adjustRightInd w:val="0"/>
              <w:snapToGrid w:val="0"/>
              <w:spacing w:line="360" w:lineRule="auto"/>
              <w:jc w:val="center"/>
              <w:rPr>
                <w:rFonts w:ascii="Times New Roman" w:hAnsi="Times New Roman" w:eastAsia="宋体" w:cs="Times New Roman"/>
                <w:kern w:val="0"/>
                <w:sz w:val="20"/>
                <w:szCs w:val="21"/>
                <w:highlight w:val="none"/>
              </w:rPr>
            </w:pPr>
            <w:r>
              <w:rPr>
                <w:rFonts w:hint="eastAsia" w:ascii="Times New Roman" w:hAnsi="Times New Roman" w:eastAsia="宋体" w:cs="Times New Roman"/>
                <w:kern w:val="0"/>
                <w:sz w:val="15"/>
                <w:szCs w:val="15"/>
                <w:highlight w:val="none"/>
              </w:rPr>
              <w:t>（签字或盖章）</w:t>
            </w:r>
          </w:p>
        </w:tc>
        <w:tc>
          <w:tcPr>
            <w:tcW w:w="1631" w:type="dxa"/>
            <w:shd w:val="clear" w:color="auto" w:fill="auto"/>
            <w:vAlign w:val="center"/>
          </w:tcPr>
          <w:p>
            <w:pPr>
              <w:adjustRightInd w:val="0"/>
              <w:snapToGrid w:val="0"/>
              <w:spacing w:line="360" w:lineRule="auto"/>
              <w:jc w:val="center"/>
              <w:rPr>
                <w:rFonts w:ascii="Times New Roman" w:hAnsi="Times New Roman" w:eastAsia="宋体" w:cs="Times New Roman"/>
                <w:kern w:val="0"/>
                <w:sz w:val="20"/>
                <w:szCs w:val="21"/>
                <w:highlight w:val="none"/>
              </w:rPr>
            </w:pPr>
          </w:p>
        </w:tc>
        <w:tc>
          <w:tcPr>
            <w:tcW w:w="2891" w:type="dxa"/>
            <w:shd w:val="clear" w:color="auto" w:fill="auto"/>
            <w:vAlign w:val="center"/>
          </w:tcPr>
          <w:p>
            <w:pPr>
              <w:adjustRightInd w:val="0"/>
              <w:snapToGrid w:val="0"/>
              <w:spacing w:line="360" w:lineRule="auto"/>
              <w:jc w:val="center"/>
              <w:rPr>
                <w:rFonts w:ascii="Times New Roman" w:hAnsi="Times New Roman" w:eastAsia="宋体" w:cs="Times New Roman"/>
                <w:kern w:val="0"/>
                <w:sz w:val="15"/>
                <w:szCs w:val="15"/>
                <w:highlight w:val="none"/>
              </w:rPr>
            </w:pPr>
            <w:r>
              <w:rPr>
                <w:rFonts w:hint="eastAsia" w:ascii="Times New Roman" w:hAnsi="Times New Roman" w:eastAsia="宋体" w:cs="Times New Roman"/>
                <w:kern w:val="0"/>
                <w:sz w:val="15"/>
                <w:szCs w:val="15"/>
                <w:highlight w:val="none"/>
              </w:rPr>
              <w:t>（签字或盖章）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9289" w:type="dxa"/>
            <w:gridSpan w:val="4"/>
            <w:shd w:val="clear" w:color="auto" w:fill="auto"/>
            <w:vAlign w:val="center"/>
          </w:tcPr>
          <w:p>
            <w:pPr>
              <w:adjustRightInd w:val="0"/>
              <w:snapToGrid w:val="0"/>
              <w:spacing w:line="360" w:lineRule="auto"/>
              <w:jc w:val="center"/>
              <w:rPr>
                <w:rFonts w:ascii="Times New Roman" w:hAnsi="Times New Roman" w:eastAsia="宋体" w:cs="Times New Roman"/>
                <w:kern w:val="0"/>
                <w:sz w:val="20"/>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576" w:type="dxa"/>
            <w:shd w:val="clear" w:color="auto" w:fill="auto"/>
            <w:vAlign w:val="center"/>
          </w:tcPr>
          <w:p>
            <w:pPr>
              <w:adjustRightInd w:val="0"/>
              <w:snapToGrid w:val="0"/>
              <w:spacing w:line="360" w:lineRule="auto"/>
              <w:ind w:right="105"/>
              <w:jc w:val="right"/>
              <w:rPr>
                <w:rFonts w:ascii="Times New Roman" w:hAnsi="Times New Roman" w:eastAsia="宋体" w:cs="Times New Roman"/>
                <w:kern w:val="0"/>
                <w:sz w:val="20"/>
                <w:szCs w:val="21"/>
                <w:highlight w:val="none"/>
              </w:rPr>
            </w:pPr>
            <w:r>
              <w:rPr>
                <w:rFonts w:hint="eastAsia" w:ascii="Times New Roman" w:hAnsi="Times New Roman" w:eastAsia="宋体" w:cs="Times New Roman"/>
                <w:kern w:val="0"/>
                <w:sz w:val="20"/>
                <w:szCs w:val="21"/>
                <w:highlight w:val="none"/>
              </w:rPr>
              <w:t>编  制  人：</w:t>
            </w:r>
          </w:p>
        </w:tc>
        <w:tc>
          <w:tcPr>
            <w:tcW w:w="3191" w:type="dxa"/>
            <w:shd w:val="clear" w:color="auto" w:fill="auto"/>
            <w:vAlign w:val="center"/>
          </w:tcPr>
          <w:p>
            <w:pPr>
              <w:adjustRightInd w:val="0"/>
              <w:snapToGrid w:val="0"/>
              <w:spacing w:line="360" w:lineRule="auto"/>
              <w:jc w:val="center"/>
              <w:rPr>
                <w:rFonts w:ascii="Times New Roman" w:hAnsi="Times New Roman" w:eastAsia="宋体" w:cs="Times New Roman"/>
                <w:kern w:val="0"/>
                <w:sz w:val="20"/>
                <w:szCs w:val="21"/>
                <w:highlight w:val="none"/>
                <w:u w:val="single"/>
              </w:rPr>
            </w:pPr>
            <w:r>
              <w:rPr>
                <w:rFonts w:ascii="Times New Roman" w:hAnsi="Times New Roman" w:eastAsia="宋体" w:cs="Times New Roman"/>
                <w:kern w:val="0"/>
                <w:sz w:val="20"/>
                <w:szCs w:val="21"/>
                <w:highlight w:val="none"/>
                <w:u w:val="single"/>
              </w:rPr>
              <w:t>_________________________</w:t>
            </w:r>
          </w:p>
        </w:tc>
        <w:tc>
          <w:tcPr>
            <w:tcW w:w="1631" w:type="dxa"/>
            <w:shd w:val="clear" w:color="auto" w:fill="auto"/>
            <w:vAlign w:val="center"/>
          </w:tcPr>
          <w:p>
            <w:pPr>
              <w:adjustRightInd w:val="0"/>
              <w:snapToGrid w:val="0"/>
              <w:spacing w:line="360" w:lineRule="auto"/>
              <w:jc w:val="right"/>
              <w:rPr>
                <w:rFonts w:ascii="Times New Roman" w:hAnsi="Times New Roman" w:eastAsia="宋体" w:cs="Times New Roman"/>
                <w:kern w:val="0"/>
                <w:sz w:val="20"/>
                <w:szCs w:val="21"/>
                <w:highlight w:val="none"/>
              </w:rPr>
            </w:pPr>
            <w:r>
              <w:rPr>
                <w:rFonts w:hint="eastAsia" w:ascii="Times New Roman" w:hAnsi="Times New Roman" w:eastAsia="宋体" w:cs="Times New Roman"/>
                <w:kern w:val="0"/>
                <w:sz w:val="20"/>
                <w:szCs w:val="21"/>
                <w:highlight w:val="none"/>
              </w:rPr>
              <w:t>复  核  人：</w:t>
            </w:r>
          </w:p>
        </w:tc>
        <w:tc>
          <w:tcPr>
            <w:tcW w:w="2891" w:type="dxa"/>
            <w:shd w:val="clear" w:color="auto" w:fill="auto"/>
            <w:vAlign w:val="center"/>
          </w:tcPr>
          <w:p>
            <w:pPr>
              <w:adjustRightInd w:val="0"/>
              <w:snapToGrid w:val="0"/>
              <w:spacing w:line="360" w:lineRule="auto"/>
              <w:rPr>
                <w:rFonts w:ascii="Times New Roman" w:hAnsi="Times New Roman" w:eastAsia="宋体" w:cs="Times New Roman"/>
                <w:kern w:val="0"/>
                <w:sz w:val="20"/>
                <w:szCs w:val="21"/>
                <w:highlight w:val="none"/>
                <w:u w:val="single"/>
              </w:rPr>
            </w:pPr>
            <w:r>
              <w:rPr>
                <w:rFonts w:ascii="Times New Roman" w:hAnsi="Times New Roman" w:eastAsia="宋体" w:cs="Times New Roman"/>
                <w:kern w:val="0"/>
                <w:sz w:val="20"/>
                <w:szCs w:val="21"/>
                <w:highlight w:val="none"/>
                <w:u w:val="single"/>
              </w:rPr>
              <w:t>_________________________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576" w:type="dxa"/>
            <w:shd w:val="clear" w:color="auto" w:fill="auto"/>
            <w:vAlign w:val="center"/>
          </w:tcPr>
          <w:p>
            <w:pPr>
              <w:adjustRightInd w:val="0"/>
              <w:snapToGrid w:val="0"/>
              <w:spacing w:line="360" w:lineRule="auto"/>
              <w:jc w:val="center"/>
              <w:rPr>
                <w:rFonts w:ascii="Times New Roman" w:hAnsi="Times New Roman" w:eastAsia="宋体" w:cs="Times New Roman"/>
                <w:kern w:val="0"/>
                <w:sz w:val="20"/>
                <w:szCs w:val="21"/>
                <w:highlight w:val="none"/>
              </w:rPr>
            </w:pPr>
          </w:p>
        </w:tc>
        <w:tc>
          <w:tcPr>
            <w:tcW w:w="3191" w:type="dxa"/>
            <w:shd w:val="clear" w:color="auto" w:fill="auto"/>
            <w:vAlign w:val="center"/>
          </w:tcPr>
          <w:p>
            <w:pPr>
              <w:adjustRightInd w:val="0"/>
              <w:snapToGrid w:val="0"/>
              <w:spacing w:line="360" w:lineRule="auto"/>
              <w:jc w:val="center"/>
              <w:rPr>
                <w:rFonts w:ascii="Times New Roman" w:hAnsi="Times New Roman" w:eastAsia="宋体" w:cs="Times New Roman"/>
                <w:kern w:val="0"/>
                <w:sz w:val="20"/>
                <w:szCs w:val="21"/>
                <w:highlight w:val="none"/>
              </w:rPr>
            </w:pPr>
            <w:r>
              <w:rPr>
                <w:rFonts w:hint="eastAsia" w:ascii="Times New Roman" w:hAnsi="Times New Roman" w:eastAsia="宋体" w:cs="Times New Roman"/>
                <w:kern w:val="0"/>
                <w:sz w:val="15"/>
                <w:szCs w:val="15"/>
                <w:highlight w:val="none"/>
              </w:rPr>
              <w:t>（造价人员签字盖专用章）</w:t>
            </w:r>
          </w:p>
        </w:tc>
        <w:tc>
          <w:tcPr>
            <w:tcW w:w="1631" w:type="dxa"/>
            <w:shd w:val="clear" w:color="auto" w:fill="auto"/>
            <w:vAlign w:val="center"/>
          </w:tcPr>
          <w:p>
            <w:pPr>
              <w:adjustRightInd w:val="0"/>
              <w:snapToGrid w:val="0"/>
              <w:spacing w:line="360" w:lineRule="auto"/>
              <w:jc w:val="center"/>
              <w:rPr>
                <w:rFonts w:ascii="Times New Roman" w:hAnsi="Times New Roman" w:eastAsia="宋体" w:cs="Times New Roman"/>
                <w:kern w:val="0"/>
                <w:sz w:val="20"/>
                <w:szCs w:val="21"/>
                <w:highlight w:val="none"/>
              </w:rPr>
            </w:pPr>
          </w:p>
        </w:tc>
        <w:tc>
          <w:tcPr>
            <w:tcW w:w="2891" w:type="dxa"/>
            <w:shd w:val="clear" w:color="auto" w:fill="auto"/>
            <w:vAlign w:val="center"/>
          </w:tcPr>
          <w:p>
            <w:pPr>
              <w:adjustRightInd w:val="0"/>
              <w:snapToGrid w:val="0"/>
              <w:spacing w:line="360" w:lineRule="auto"/>
              <w:jc w:val="center"/>
              <w:rPr>
                <w:rFonts w:ascii="Times New Roman" w:hAnsi="Times New Roman" w:eastAsia="宋体" w:cs="Times New Roman"/>
                <w:kern w:val="0"/>
                <w:sz w:val="15"/>
                <w:szCs w:val="15"/>
                <w:highlight w:val="none"/>
              </w:rPr>
            </w:pPr>
            <w:r>
              <w:rPr>
                <w:rFonts w:hint="eastAsia" w:ascii="Times New Roman" w:hAnsi="Times New Roman" w:eastAsia="宋体" w:cs="Times New Roman"/>
                <w:kern w:val="0"/>
                <w:sz w:val="15"/>
                <w:szCs w:val="15"/>
                <w:highlight w:val="none"/>
              </w:rPr>
              <w:t>（造价工程师签字盖专用章）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9289" w:type="dxa"/>
            <w:gridSpan w:val="4"/>
            <w:shd w:val="clear" w:color="auto" w:fill="auto"/>
            <w:vAlign w:val="center"/>
          </w:tcPr>
          <w:p>
            <w:pPr>
              <w:adjustRightInd w:val="0"/>
              <w:snapToGrid w:val="0"/>
              <w:spacing w:line="360" w:lineRule="auto"/>
              <w:jc w:val="center"/>
              <w:rPr>
                <w:rFonts w:ascii="Times New Roman" w:hAnsi="Times New Roman" w:eastAsia="宋体" w:cs="Times New Roman"/>
                <w:kern w:val="0"/>
                <w:sz w:val="20"/>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576" w:type="dxa"/>
            <w:shd w:val="clear" w:color="auto" w:fill="auto"/>
            <w:vAlign w:val="center"/>
          </w:tcPr>
          <w:p>
            <w:pPr>
              <w:adjustRightInd w:val="0"/>
              <w:snapToGrid w:val="0"/>
              <w:spacing w:line="360" w:lineRule="auto"/>
              <w:ind w:right="-212" w:rightChars="-101"/>
              <w:rPr>
                <w:rFonts w:ascii="Times New Roman" w:hAnsi="Times New Roman" w:eastAsia="宋体" w:cs="Times New Roman"/>
                <w:kern w:val="0"/>
                <w:sz w:val="20"/>
                <w:szCs w:val="21"/>
                <w:highlight w:val="none"/>
              </w:rPr>
            </w:pPr>
            <w:r>
              <w:rPr>
                <w:rFonts w:hint="eastAsia" w:ascii="Times New Roman" w:hAnsi="Times New Roman" w:eastAsia="宋体" w:cs="Times New Roman"/>
                <w:kern w:val="0"/>
                <w:sz w:val="20"/>
                <w:szCs w:val="21"/>
                <w:highlight w:val="none"/>
              </w:rPr>
              <w:t>编 制 时 间：</w:t>
            </w:r>
          </w:p>
        </w:tc>
        <w:tc>
          <w:tcPr>
            <w:tcW w:w="3191" w:type="dxa"/>
            <w:shd w:val="clear" w:color="auto" w:fill="auto"/>
            <w:vAlign w:val="center"/>
          </w:tcPr>
          <w:p>
            <w:pPr>
              <w:adjustRightInd w:val="0"/>
              <w:snapToGrid w:val="0"/>
              <w:spacing w:line="360" w:lineRule="auto"/>
              <w:jc w:val="right"/>
              <w:rPr>
                <w:rFonts w:ascii="Times New Roman" w:hAnsi="Times New Roman" w:eastAsia="宋体" w:cs="Times New Roman"/>
                <w:kern w:val="0"/>
                <w:sz w:val="20"/>
                <w:szCs w:val="21"/>
                <w:highlight w:val="none"/>
              </w:rPr>
            </w:pPr>
            <w:r>
              <w:rPr>
                <w:rFonts w:hint="eastAsia" w:ascii="Times New Roman" w:hAnsi="Times New Roman" w:eastAsia="宋体" w:cs="Times New Roman"/>
                <w:kern w:val="0"/>
                <w:sz w:val="20"/>
                <w:szCs w:val="21"/>
                <w:highlight w:val="none"/>
              </w:rPr>
              <w:t xml:space="preserve">        年     月     日</w:t>
            </w:r>
          </w:p>
        </w:tc>
        <w:tc>
          <w:tcPr>
            <w:tcW w:w="1631" w:type="dxa"/>
            <w:shd w:val="clear" w:color="auto" w:fill="auto"/>
            <w:vAlign w:val="center"/>
          </w:tcPr>
          <w:p>
            <w:pPr>
              <w:adjustRightInd w:val="0"/>
              <w:snapToGrid w:val="0"/>
              <w:spacing w:line="360" w:lineRule="auto"/>
              <w:ind w:right="-88" w:rightChars="-42"/>
              <w:jc w:val="center"/>
              <w:rPr>
                <w:rFonts w:ascii="Times New Roman" w:hAnsi="Times New Roman" w:eastAsia="宋体" w:cs="Times New Roman"/>
                <w:kern w:val="0"/>
                <w:sz w:val="20"/>
                <w:szCs w:val="21"/>
                <w:highlight w:val="none"/>
              </w:rPr>
            </w:pPr>
            <w:r>
              <w:rPr>
                <w:rFonts w:hint="eastAsia" w:ascii="Times New Roman" w:hAnsi="Times New Roman" w:eastAsia="宋体" w:cs="Times New Roman"/>
                <w:kern w:val="0"/>
                <w:sz w:val="20"/>
                <w:szCs w:val="21"/>
                <w:highlight w:val="none"/>
              </w:rPr>
              <w:t>复 核 时 间：</w:t>
            </w:r>
          </w:p>
        </w:tc>
        <w:tc>
          <w:tcPr>
            <w:tcW w:w="2891" w:type="dxa"/>
            <w:shd w:val="clear" w:color="auto" w:fill="auto"/>
            <w:vAlign w:val="center"/>
          </w:tcPr>
          <w:p>
            <w:pPr>
              <w:adjustRightInd w:val="0"/>
              <w:snapToGrid w:val="0"/>
              <w:spacing w:line="360" w:lineRule="auto"/>
              <w:jc w:val="left"/>
              <w:rPr>
                <w:rFonts w:ascii="Times New Roman" w:hAnsi="Times New Roman" w:eastAsia="宋体" w:cs="Times New Roman"/>
                <w:kern w:val="0"/>
                <w:sz w:val="20"/>
                <w:szCs w:val="21"/>
                <w:highlight w:val="none"/>
              </w:rPr>
            </w:pPr>
            <w:r>
              <w:rPr>
                <w:rFonts w:hint="eastAsia" w:ascii="Times New Roman" w:hAnsi="Times New Roman" w:eastAsia="宋体" w:cs="Times New Roman"/>
                <w:kern w:val="0"/>
                <w:sz w:val="20"/>
                <w:szCs w:val="21"/>
                <w:highlight w:val="none"/>
              </w:rPr>
              <w:t xml:space="preserve">        年     月     日</w:t>
            </w:r>
          </w:p>
        </w:tc>
      </w:tr>
    </w:tbl>
    <w:p>
      <w:pPr>
        <w:spacing w:line="20" w:lineRule="exact"/>
        <w:rPr>
          <w:highlight w:val="none"/>
        </w:rPr>
      </w:pPr>
      <w:r>
        <w:rPr>
          <w:highlight w:val="none"/>
        </w:rPr>
        <w:br w:type="page"/>
      </w:r>
    </w:p>
    <w:p>
      <w:pPr>
        <w:adjustRightInd w:val="0"/>
        <w:snapToGrid w:val="0"/>
        <w:spacing w:line="360" w:lineRule="auto"/>
        <w:rPr>
          <w:sz w:val="30"/>
          <w:szCs w:val="30"/>
          <w:highlight w:val="none"/>
        </w:rPr>
      </w:pPr>
    </w:p>
    <w:p>
      <w:pPr>
        <w:adjustRightInd w:val="0"/>
        <w:snapToGrid w:val="0"/>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总   说   明</w:t>
      </w:r>
    </w:p>
    <w:p>
      <w:pPr>
        <w:adjustRightInd w:val="0"/>
        <w:snapToGrid w:val="0"/>
        <w:spacing w:line="360" w:lineRule="auto"/>
        <w:rPr>
          <w:rFonts w:hint="eastAsia" w:ascii="宋体" w:hAnsi="宋体" w:eastAsia="宋体" w:cs="宋体"/>
          <w:sz w:val="30"/>
          <w:szCs w:val="30"/>
          <w:highlight w:val="none"/>
        </w:rPr>
      </w:pPr>
      <w:r>
        <w:rPr>
          <w:rFonts w:hint="eastAsia" w:ascii="宋体" w:hAnsi="宋体" w:eastAsia="宋体" w:cs="宋体"/>
          <w:szCs w:val="21"/>
          <w:highlight w:val="none"/>
        </w:rPr>
        <w:t>工程名称：                                                               第  页 共  页</w:t>
      </w:r>
    </w:p>
    <w:tbl>
      <w:tblPr>
        <w:tblStyle w:val="39"/>
        <w:tblW w:w="893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fixed"/>
        <w:tblCellMar>
          <w:top w:w="0" w:type="dxa"/>
          <w:left w:w="108" w:type="dxa"/>
          <w:bottom w:w="0" w:type="dxa"/>
          <w:right w:w="108" w:type="dxa"/>
        </w:tblCellMar>
      </w:tblPr>
      <w:tblGrid>
        <w:gridCol w:w="8936"/>
      </w:tblGrid>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fixed"/>
          <w:tblCellMar>
            <w:top w:w="0" w:type="dxa"/>
            <w:left w:w="108" w:type="dxa"/>
            <w:bottom w:w="0" w:type="dxa"/>
            <w:right w:w="108" w:type="dxa"/>
          </w:tblCellMar>
        </w:tblPrEx>
        <w:trPr>
          <w:trHeight w:val="510" w:hRule="atLeast"/>
          <w:jc w:val="center"/>
        </w:trPr>
        <w:tc>
          <w:tcPr>
            <w:tcW w:w="8936" w:type="dxa"/>
            <w:shd w:val="clear" w:color="auto" w:fill="auto"/>
            <w:vAlign w:val="center"/>
          </w:tcPr>
          <w:p>
            <w:pPr>
              <w:adjustRightInd w:val="0"/>
              <w:snapToGrid w:val="0"/>
              <w:spacing w:line="360" w:lineRule="auto"/>
              <w:jc w:val="left"/>
              <w:rPr>
                <w:rFonts w:ascii="Times New Roman" w:hAnsi="Times New Roman" w:eastAsia="宋体" w:cs="Times New Roman"/>
                <w:kern w:val="0"/>
                <w:sz w:val="20"/>
                <w:szCs w:val="20"/>
                <w:highlight w:val="none"/>
              </w:rPr>
            </w:pPr>
          </w:p>
          <w:p>
            <w:pPr>
              <w:adjustRightInd w:val="0"/>
              <w:snapToGrid w:val="0"/>
              <w:spacing w:line="360" w:lineRule="auto"/>
              <w:jc w:val="left"/>
              <w:rPr>
                <w:rFonts w:ascii="Times New Roman" w:hAnsi="Times New Roman" w:eastAsia="宋体" w:cs="Times New Roman"/>
                <w:kern w:val="0"/>
                <w:sz w:val="20"/>
                <w:szCs w:val="20"/>
                <w:highlight w:val="none"/>
              </w:rPr>
            </w:pPr>
          </w:p>
          <w:p>
            <w:pPr>
              <w:adjustRightInd w:val="0"/>
              <w:snapToGrid w:val="0"/>
              <w:spacing w:line="360" w:lineRule="auto"/>
              <w:jc w:val="left"/>
              <w:rPr>
                <w:rFonts w:ascii="Times New Roman" w:hAnsi="Times New Roman" w:eastAsia="宋体" w:cs="Times New Roman"/>
                <w:kern w:val="0"/>
                <w:sz w:val="20"/>
                <w:szCs w:val="20"/>
                <w:highlight w:val="none"/>
              </w:rPr>
            </w:pPr>
          </w:p>
          <w:p>
            <w:pPr>
              <w:adjustRightInd w:val="0"/>
              <w:snapToGrid w:val="0"/>
              <w:spacing w:line="360" w:lineRule="auto"/>
              <w:jc w:val="left"/>
              <w:rPr>
                <w:rFonts w:ascii="Times New Roman" w:hAnsi="Times New Roman" w:eastAsia="宋体" w:cs="Times New Roman"/>
                <w:kern w:val="0"/>
                <w:sz w:val="20"/>
                <w:szCs w:val="20"/>
                <w:highlight w:val="none"/>
              </w:rPr>
            </w:pPr>
          </w:p>
          <w:p>
            <w:pPr>
              <w:adjustRightInd w:val="0"/>
              <w:snapToGrid w:val="0"/>
              <w:spacing w:line="360" w:lineRule="auto"/>
              <w:jc w:val="left"/>
              <w:rPr>
                <w:rFonts w:ascii="Times New Roman" w:hAnsi="Times New Roman" w:eastAsia="宋体" w:cs="Times New Roman"/>
                <w:kern w:val="0"/>
                <w:sz w:val="20"/>
                <w:szCs w:val="20"/>
                <w:highlight w:val="none"/>
              </w:rPr>
            </w:pPr>
          </w:p>
          <w:p>
            <w:pPr>
              <w:adjustRightInd w:val="0"/>
              <w:snapToGrid w:val="0"/>
              <w:spacing w:line="360" w:lineRule="auto"/>
              <w:jc w:val="left"/>
              <w:rPr>
                <w:rFonts w:ascii="Times New Roman" w:hAnsi="Times New Roman" w:eastAsia="宋体" w:cs="Times New Roman"/>
                <w:kern w:val="0"/>
                <w:sz w:val="20"/>
                <w:szCs w:val="20"/>
                <w:highlight w:val="none"/>
              </w:rPr>
            </w:pPr>
          </w:p>
          <w:p>
            <w:pPr>
              <w:adjustRightInd w:val="0"/>
              <w:snapToGrid w:val="0"/>
              <w:spacing w:line="360" w:lineRule="auto"/>
              <w:jc w:val="left"/>
              <w:rPr>
                <w:rFonts w:ascii="Times New Roman" w:hAnsi="Times New Roman" w:eastAsia="宋体" w:cs="Times New Roman"/>
                <w:kern w:val="0"/>
                <w:sz w:val="20"/>
                <w:szCs w:val="20"/>
                <w:highlight w:val="none"/>
              </w:rPr>
            </w:pPr>
          </w:p>
          <w:p>
            <w:pPr>
              <w:adjustRightInd w:val="0"/>
              <w:snapToGrid w:val="0"/>
              <w:spacing w:line="360" w:lineRule="auto"/>
              <w:jc w:val="left"/>
              <w:rPr>
                <w:rFonts w:ascii="Times New Roman" w:hAnsi="Times New Roman" w:eastAsia="宋体" w:cs="Times New Roman"/>
                <w:kern w:val="0"/>
                <w:sz w:val="20"/>
                <w:szCs w:val="20"/>
                <w:highlight w:val="none"/>
              </w:rPr>
            </w:pPr>
          </w:p>
          <w:p>
            <w:pPr>
              <w:adjustRightInd w:val="0"/>
              <w:snapToGrid w:val="0"/>
              <w:spacing w:line="360" w:lineRule="auto"/>
              <w:jc w:val="left"/>
              <w:rPr>
                <w:rFonts w:ascii="Times New Roman" w:hAnsi="Times New Roman" w:eastAsia="宋体" w:cs="Times New Roman"/>
                <w:kern w:val="0"/>
                <w:sz w:val="20"/>
                <w:szCs w:val="20"/>
                <w:highlight w:val="none"/>
              </w:rPr>
            </w:pPr>
          </w:p>
          <w:p>
            <w:pPr>
              <w:adjustRightInd w:val="0"/>
              <w:snapToGrid w:val="0"/>
              <w:spacing w:line="360" w:lineRule="auto"/>
              <w:jc w:val="left"/>
              <w:rPr>
                <w:rFonts w:ascii="Times New Roman" w:hAnsi="Times New Roman" w:eastAsia="宋体" w:cs="Times New Roman"/>
                <w:kern w:val="0"/>
                <w:sz w:val="20"/>
                <w:szCs w:val="20"/>
                <w:highlight w:val="none"/>
              </w:rPr>
            </w:pPr>
          </w:p>
          <w:p>
            <w:pPr>
              <w:adjustRightInd w:val="0"/>
              <w:snapToGrid w:val="0"/>
              <w:spacing w:line="360" w:lineRule="auto"/>
              <w:jc w:val="left"/>
              <w:rPr>
                <w:rFonts w:ascii="Times New Roman" w:hAnsi="Times New Roman" w:eastAsia="宋体" w:cs="Times New Roman"/>
                <w:kern w:val="0"/>
                <w:sz w:val="20"/>
                <w:szCs w:val="20"/>
                <w:highlight w:val="none"/>
              </w:rPr>
            </w:pPr>
          </w:p>
          <w:p>
            <w:pPr>
              <w:adjustRightInd w:val="0"/>
              <w:snapToGrid w:val="0"/>
              <w:spacing w:line="360" w:lineRule="auto"/>
              <w:jc w:val="left"/>
              <w:rPr>
                <w:rFonts w:ascii="Times New Roman" w:hAnsi="Times New Roman" w:eastAsia="宋体" w:cs="Times New Roman"/>
                <w:kern w:val="0"/>
                <w:sz w:val="20"/>
                <w:szCs w:val="20"/>
                <w:highlight w:val="none"/>
              </w:rPr>
            </w:pPr>
          </w:p>
          <w:p>
            <w:pPr>
              <w:adjustRightInd w:val="0"/>
              <w:snapToGrid w:val="0"/>
              <w:spacing w:line="360" w:lineRule="auto"/>
              <w:jc w:val="left"/>
              <w:rPr>
                <w:rFonts w:ascii="Times New Roman" w:hAnsi="Times New Roman" w:eastAsia="宋体" w:cs="Times New Roman"/>
                <w:kern w:val="0"/>
                <w:sz w:val="20"/>
                <w:szCs w:val="20"/>
                <w:highlight w:val="none"/>
              </w:rPr>
            </w:pPr>
          </w:p>
          <w:p>
            <w:pPr>
              <w:adjustRightInd w:val="0"/>
              <w:snapToGrid w:val="0"/>
              <w:spacing w:line="360" w:lineRule="auto"/>
              <w:jc w:val="left"/>
              <w:rPr>
                <w:rFonts w:ascii="Times New Roman" w:hAnsi="Times New Roman" w:eastAsia="宋体" w:cs="Times New Roman"/>
                <w:kern w:val="0"/>
                <w:sz w:val="20"/>
                <w:szCs w:val="20"/>
                <w:highlight w:val="none"/>
              </w:rPr>
            </w:pPr>
          </w:p>
          <w:p>
            <w:pPr>
              <w:adjustRightInd w:val="0"/>
              <w:snapToGrid w:val="0"/>
              <w:spacing w:line="360" w:lineRule="auto"/>
              <w:jc w:val="left"/>
              <w:rPr>
                <w:rFonts w:ascii="Times New Roman" w:hAnsi="Times New Roman" w:eastAsia="宋体" w:cs="Times New Roman"/>
                <w:kern w:val="0"/>
                <w:sz w:val="20"/>
                <w:szCs w:val="20"/>
                <w:highlight w:val="none"/>
              </w:rPr>
            </w:pPr>
          </w:p>
          <w:p>
            <w:pPr>
              <w:adjustRightInd w:val="0"/>
              <w:snapToGrid w:val="0"/>
              <w:spacing w:line="360" w:lineRule="auto"/>
              <w:jc w:val="left"/>
              <w:rPr>
                <w:rFonts w:ascii="Times New Roman" w:hAnsi="Times New Roman" w:eastAsia="宋体" w:cs="Times New Roman"/>
                <w:kern w:val="0"/>
                <w:sz w:val="20"/>
                <w:szCs w:val="20"/>
                <w:highlight w:val="none"/>
              </w:rPr>
            </w:pPr>
          </w:p>
          <w:p>
            <w:pPr>
              <w:adjustRightInd w:val="0"/>
              <w:snapToGrid w:val="0"/>
              <w:spacing w:line="360" w:lineRule="auto"/>
              <w:jc w:val="left"/>
              <w:rPr>
                <w:rFonts w:ascii="Times New Roman" w:hAnsi="Times New Roman" w:eastAsia="宋体" w:cs="Times New Roman"/>
                <w:kern w:val="0"/>
                <w:sz w:val="20"/>
                <w:szCs w:val="20"/>
                <w:highlight w:val="none"/>
              </w:rPr>
            </w:pPr>
          </w:p>
          <w:p>
            <w:pPr>
              <w:adjustRightInd w:val="0"/>
              <w:snapToGrid w:val="0"/>
              <w:spacing w:line="360" w:lineRule="auto"/>
              <w:jc w:val="left"/>
              <w:rPr>
                <w:rFonts w:ascii="Times New Roman" w:hAnsi="Times New Roman" w:eastAsia="宋体" w:cs="Times New Roman"/>
                <w:kern w:val="0"/>
                <w:sz w:val="20"/>
                <w:szCs w:val="20"/>
                <w:highlight w:val="none"/>
              </w:rPr>
            </w:pPr>
          </w:p>
          <w:p>
            <w:pPr>
              <w:adjustRightInd w:val="0"/>
              <w:snapToGrid w:val="0"/>
              <w:spacing w:line="360" w:lineRule="auto"/>
              <w:jc w:val="left"/>
              <w:rPr>
                <w:rFonts w:ascii="Times New Roman" w:hAnsi="Times New Roman" w:eastAsia="宋体" w:cs="Times New Roman"/>
                <w:kern w:val="0"/>
                <w:sz w:val="20"/>
                <w:szCs w:val="20"/>
                <w:highlight w:val="none"/>
              </w:rPr>
            </w:pPr>
          </w:p>
          <w:p>
            <w:pPr>
              <w:adjustRightInd w:val="0"/>
              <w:snapToGrid w:val="0"/>
              <w:spacing w:line="360" w:lineRule="auto"/>
              <w:jc w:val="left"/>
              <w:rPr>
                <w:rFonts w:ascii="Times New Roman" w:hAnsi="Times New Roman" w:eastAsia="宋体" w:cs="Times New Roman"/>
                <w:kern w:val="0"/>
                <w:sz w:val="20"/>
                <w:szCs w:val="20"/>
                <w:highlight w:val="none"/>
              </w:rPr>
            </w:pPr>
          </w:p>
          <w:p>
            <w:pPr>
              <w:adjustRightInd w:val="0"/>
              <w:snapToGrid w:val="0"/>
              <w:spacing w:line="360" w:lineRule="auto"/>
              <w:jc w:val="left"/>
              <w:rPr>
                <w:rFonts w:ascii="Times New Roman" w:hAnsi="Times New Roman" w:eastAsia="宋体" w:cs="Times New Roman"/>
                <w:kern w:val="0"/>
                <w:sz w:val="20"/>
                <w:szCs w:val="20"/>
                <w:highlight w:val="none"/>
              </w:rPr>
            </w:pPr>
          </w:p>
          <w:p>
            <w:pPr>
              <w:adjustRightInd w:val="0"/>
              <w:snapToGrid w:val="0"/>
              <w:spacing w:line="360" w:lineRule="auto"/>
              <w:jc w:val="left"/>
              <w:rPr>
                <w:rFonts w:ascii="Times New Roman" w:hAnsi="Times New Roman" w:eastAsia="宋体" w:cs="Times New Roman"/>
                <w:kern w:val="0"/>
                <w:sz w:val="20"/>
                <w:szCs w:val="20"/>
                <w:highlight w:val="none"/>
              </w:rPr>
            </w:pPr>
          </w:p>
          <w:p>
            <w:pPr>
              <w:adjustRightInd w:val="0"/>
              <w:snapToGrid w:val="0"/>
              <w:spacing w:line="360" w:lineRule="auto"/>
              <w:jc w:val="left"/>
              <w:rPr>
                <w:rFonts w:ascii="Times New Roman" w:hAnsi="Times New Roman" w:eastAsia="宋体" w:cs="Times New Roman"/>
                <w:kern w:val="0"/>
                <w:sz w:val="20"/>
                <w:szCs w:val="20"/>
                <w:highlight w:val="none"/>
              </w:rPr>
            </w:pPr>
          </w:p>
        </w:tc>
      </w:tr>
    </w:tbl>
    <w:p>
      <w:pPr>
        <w:spacing w:line="20" w:lineRule="exact"/>
        <w:rPr>
          <w:highlight w:val="none"/>
        </w:rPr>
      </w:pPr>
      <w:r>
        <w:rPr>
          <w:highlight w:val="none"/>
        </w:rPr>
        <w:br w:type="page"/>
      </w:r>
    </w:p>
    <w:p>
      <w:pPr>
        <w:rPr>
          <w:highlight w:val="none"/>
        </w:rPr>
      </w:pPr>
    </w:p>
    <w:p>
      <w:pPr>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分部分项工程量清单</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工程名称：                                标段：               第  页 共  页</w:t>
      </w:r>
    </w:p>
    <w:tbl>
      <w:tblPr>
        <w:tblStyle w:val="39"/>
        <w:tblW w:w="89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0"/>
        <w:gridCol w:w="1135"/>
        <w:gridCol w:w="1275"/>
        <w:gridCol w:w="2112"/>
        <w:gridCol w:w="1151"/>
        <w:gridCol w:w="1558"/>
        <w:gridCol w:w="1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60"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序号</w:t>
            </w:r>
          </w:p>
        </w:tc>
        <w:tc>
          <w:tcPr>
            <w:tcW w:w="1135"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项目编码</w:t>
            </w:r>
          </w:p>
        </w:tc>
        <w:tc>
          <w:tcPr>
            <w:tcW w:w="1275"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项目名称</w:t>
            </w:r>
          </w:p>
        </w:tc>
        <w:tc>
          <w:tcPr>
            <w:tcW w:w="2112"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项目特征描述</w:t>
            </w:r>
          </w:p>
        </w:tc>
        <w:tc>
          <w:tcPr>
            <w:tcW w:w="1151"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计量单位</w:t>
            </w:r>
          </w:p>
        </w:tc>
        <w:tc>
          <w:tcPr>
            <w:tcW w:w="155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工程量</w:t>
            </w:r>
          </w:p>
        </w:tc>
        <w:tc>
          <w:tcPr>
            <w:tcW w:w="1087"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10" w:hRule="atLeast"/>
          <w:jc w:val="center"/>
        </w:trPr>
        <w:tc>
          <w:tcPr>
            <w:tcW w:w="660"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3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27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2112"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51"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558"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087" w:type="dxa"/>
            <w:shd w:val="clear" w:color="auto" w:fill="auto"/>
            <w:vAlign w:val="center"/>
          </w:tcPr>
          <w:p>
            <w:pPr>
              <w:adjustRightInd w:val="0"/>
              <w:snapToGrid w:val="0"/>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60"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3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27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2112"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51"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558"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087" w:type="dxa"/>
            <w:shd w:val="clear" w:color="auto" w:fill="auto"/>
            <w:vAlign w:val="center"/>
          </w:tcPr>
          <w:p>
            <w:pPr>
              <w:adjustRightInd w:val="0"/>
              <w:snapToGrid w:val="0"/>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60"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3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27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2112"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51"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558"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087" w:type="dxa"/>
            <w:shd w:val="clear" w:color="auto" w:fill="auto"/>
            <w:vAlign w:val="center"/>
          </w:tcPr>
          <w:p>
            <w:pPr>
              <w:adjustRightInd w:val="0"/>
              <w:snapToGrid w:val="0"/>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60"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3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27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2112"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51"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558"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087" w:type="dxa"/>
            <w:shd w:val="clear" w:color="auto" w:fill="auto"/>
            <w:vAlign w:val="center"/>
          </w:tcPr>
          <w:p>
            <w:pPr>
              <w:adjustRightInd w:val="0"/>
              <w:snapToGrid w:val="0"/>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60"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3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27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2112"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51"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558"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087" w:type="dxa"/>
            <w:shd w:val="clear" w:color="auto" w:fill="auto"/>
            <w:vAlign w:val="center"/>
          </w:tcPr>
          <w:p>
            <w:pPr>
              <w:adjustRightInd w:val="0"/>
              <w:snapToGrid w:val="0"/>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60"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3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27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2112"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51"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558"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087" w:type="dxa"/>
            <w:shd w:val="clear" w:color="auto" w:fill="auto"/>
            <w:vAlign w:val="center"/>
          </w:tcPr>
          <w:p>
            <w:pPr>
              <w:adjustRightInd w:val="0"/>
              <w:snapToGrid w:val="0"/>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60"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3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27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2112"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51"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558"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087" w:type="dxa"/>
            <w:shd w:val="clear" w:color="auto" w:fill="auto"/>
            <w:vAlign w:val="center"/>
          </w:tcPr>
          <w:p>
            <w:pPr>
              <w:adjustRightInd w:val="0"/>
              <w:snapToGrid w:val="0"/>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60"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3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27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2112"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51"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558"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087" w:type="dxa"/>
            <w:shd w:val="clear" w:color="auto" w:fill="auto"/>
            <w:vAlign w:val="center"/>
          </w:tcPr>
          <w:p>
            <w:pPr>
              <w:adjustRightInd w:val="0"/>
              <w:snapToGrid w:val="0"/>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60"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3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27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2112"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51"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558"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087" w:type="dxa"/>
            <w:shd w:val="clear" w:color="auto" w:fill="auto"/>
            <w:vAlign w:val="center"/>
          </w:tcPr>
          <w:p>
            <w:pPr>
              <w:adjustRightInd w:val="0"/>
              <w:snapToGrid w:val="0"/>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60"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3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27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2112"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51"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558"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087" w:type="dxa"/>
            <w:shd w:val="clear" w:color="auto" w:fill="auto"/>
            <w:vAlign w:val="center"/>
          </w:tcPr>
          <w:p>
            <w:pPr>
              <w:adjustRightInd w:val="0"/>
              <w:snapToGrid w:val="0"/>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60"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3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27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2112"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51"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558"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087" w:type="dxa"/>
            <w:shd w:val="clear" w:color="auto" w:fill="auto"/>
            <w:vAlign w:val="center"/>
          </w:tcPr>
          <w:p>
            <w:pPr>
              <w:adjustRightInd w:val="0"/>
              <w:snapToGrid w:val="0"/>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60"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3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27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2112"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51"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558"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087" w:type="dxa"/>
            <w:shd w:val="clear" w:color="auto" w:fill="auto"/>
            <w:vAlign w:val="center"/>
          </w:tcPr>
          <w:p>
            <w:pPr>
              <w:adjustRightInd w:val="0"/>
              <w:snapToGrid w:val="0"/>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60"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3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27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2112"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51"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558"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087" w:type="dxa"/>
            <w:shd w:val="clear" w:color="auto" w:fill="auto"/>
            <w:vAlign w:val="center"/>
          </w:tcPr>
          <w:p>
            <w:pPr>
              <w:adjustRightInd w:val="0"/>
              <w:snapToGrid w:val="0"/>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60"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3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27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2112"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51"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558"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087" w:type="dxa"/>
            <w:shd w:val="clear" w:color="auto" w:fill="auto"/>
            <w:vAlign w:val="center"/>
          </w:tcPr>
          <w:p>
            <w:pPr>
              <w:adjustRightInd w:val="0"/>
              <w:snapToGrid w:val="0"/>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60"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3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27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2112"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51"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558"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087" w:type="dxa"/>
            <w:shd w:val="clear" w:color="auto" w:fill="auto"/>
            <w:vAlign w:val="center"/>
          </w:tcPr>
          <w:p>
            <w:pPr>
              <w:adjustRightInd w:val="0"/>
              <w:snapToGrid w:val="0"/>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60"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3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27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2112"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51"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558"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087" w:type="dxa"/>
            <w:shd w:val="clear" w:color="auto" w:fill="auto"/>
            <w:vAlign w:val="center"/>
          </w:tcPr>
          <w:p>
            <w:pPr>
              <w:adjustRightInd w:val="0"/>
              <w:snapToGrid w:val="0"/>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60"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3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27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2112"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51"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558"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087" w:type="dxa"/>
            <w:shd w:val="clear" w:color="auto" w:fill="auto"/>
            <w:vAlign w:val="center"/>
          </w:tcPr>
          <w:p>
            <w:pPr>
              <w:adjustRightInd w:val="0"/>
              <w:snapToGrid w:val="0"/>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60"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3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27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2112"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51"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558"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087" w:type="dxa"/>
            <w:shd w:val="clear" w:color="auto" w:fill="auto"/>
            <w:vAlign w:val="center"/>
          </w:tcPr>
          <w:p>
            <w:pPr>
              <w:adjustRightInd w:val="0"/>
              <w:snapToGrid w:val="0"/>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60"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3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27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2112"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51"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558"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087" w:type="dxa"/>
            <w:shd w:val="clear" w:color="auto" w:fill="auto"/>
            <w:vAlign w:val="center"/>
          </w:tcPr>
          <w:p>
            <w:pPr>
              <w:adjustRightInd w:val="0"/>
              <w:snapToGrid w:val="0"/>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60"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3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275"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2112"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151"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558" w:type="dxa"/>
            <w:shd w:val="clear" w:color="auto" w:fill="auto"/>
            <w:vAlign w:val="center"/>
          </w:tcPr>
          <w:p>
            <w:pPr>
              <w:adjustRightInd w:val="0"/>
              <w:snapToGrid w:val="0"/>
              <w:rPr>
                <w:rFonts w:hint="eastAsia" w:ascii="宋体" w:hAnsi="宋体" w:eastAsia="宋体" w:cs="宋体"/>
                <w:kern w:val="0"/>
                <w:sz w:val="21"/>
                <w:szCs w:val="21"/>
                <w:highlight w:val="none"/>
              </w:rPr>
            </w:pPr>
          </w:p>
        </w:tc>
        <w:tc>
          <w:tcPr>
            <w:tcW w:w="1087" w:type="dxa"/>
            <w:shd w:val="clear" w:color="auto" w:fill="auto"/>
            <w:vAlign w:val="center"/>
          </w:tcPr>
          <w:p>
            <w:pPr>
              <w:adjustRightInd w:val="0"/>
              <w:snapToGrid w:val="0"/>
              <w:rPr>
                <w:rFonts w:hint="eastAsia" w:ascii="宋体" w:hAnsi="宋体" w:eastAsia="宋体" w:cs="宋体"/>
                <w:kern w:val="0"/>
                <w:sz w:val="21"/>
                <w:szCs w:val="21"/>
                <w:highlight w:val="none"/>
              </w:rPr>
            </w:pPr>
          </w:p>
        </w:tc>
      </w:tr>
    </w:tbl>
    <w:p>
      <w:pPr>
        <w:spacing w:line="20" w:lineRule="exact"/>
        <w:rPr>
          <w:highlight w:val="none"/>
        </w:rPr>
      </w:pPr>
      <w:r>
        <w:rPr>
          <w:highlight w:val="none"/>
        </w:rPr>
        <w:br w:type="page"/>
      </w:r>
    </w:p>
    <w:p>
      <w:pPr>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措施项目清单汇总表</w:t>
      </w:r>
    </w:p>
    <w:p>
      <w:pPr>
        <w:rPr>
          <w:highlight w:val="none"/>
        </w:rPr>
      </w:pPr>
    </w:p>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工程名称：                                标段：               第  页 共  页</w:t>
      </w:r>
    </w:p>
    <w:tbl>
      <w:tblPr>
        <w:tblStyle w:val="39"/>
        <w:tblW w:w="92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5558"/>
        <w:gridCol w:w="3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99"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序号</w:t>
            </w:r>
          </w:p>
        </w:tc>
        <w:tc>
          <w:tcPr>
            <w:tcW w:w="5558"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项 目 名 称</w:t>
            </w:r>
          </w:p>
        </w:tc>
        <w:tc>
          <w:tcPr>
            <w:tcW w:w="303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99"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1</w:t>
            </w:r>
          </w:p>
        </w:tc>
        <w:tc>
          <w:tcPr>
            <w:tcW w:w="5558" w:type="dxa"/>
            <w:shd w:val="clear" w:color="auto" w:fill="auto"/>
            <w:vAlign w:val="center"/>
          </w:tcPr>
          <w:p>
            <w:pPr>
              <w:adjustRightInd w:val="0"/>
              <w:snapToGrid w:val="0"/>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安全文明施工措施费</w:t>
            </w:r>
          </w:p>
        </w:tc>
        <w:tc>
          <w:tcPr>
            <w:tcW w:w="3032"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99"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5558"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(1)临时设施费</w:t>
            </w:r>
          </w:p>
        </w:tc>
        <w:tc>
          <w:tcPr>
            <w:tcW w:w="3032"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99"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5558"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(2)文明施工费</w:t>
            </w:r>
          </w:p>
        </w:tc>
        <w:tc>
          <w:tcPr>
            <w:tcW w:w="3032"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99"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5558"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(3)安全施工费</w:t>
            </w:r>
          </w:p>
        </w:tc>
        <w:tc>
          <w:tcPr>
            <w:tcW w:w="3032"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99"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5558"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(4)环境保护费</w:t>
            </w:r>
          </w:p>
        </w:tc>
        <w:tc>
          <w:tcPr>
            <w:tcW w:w="3032"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99"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2</w:t>
            </w:r>
          </w:p>
        </w:tc>
        <w:tc>
          <w:tcPr>
            <w:tcW w:w="5558"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履约担保手续费</w:t>
            </w:r>
          </w:p>
        </w:tc>
        <w:tc>
          <w:tcPr>
            <w:tcW w:w="3032"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99"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3</w:t>
            </w:r>
          </w:p>
        </w:tc>
        <w:tc>
          <w:tcPr>
            <w:tcW w:w="5558"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夜间施工费</w:t>
            </w:r>
          </w:p>
        </w:tc>
        <w:tc>
          <w:tcPr>
            <w:tcW w:w="3032"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99"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4</w:t>
            </w:r>
          </w:p>
        </w:tc>
        <w:tc>
          <w:tcPr>
            <w:tcW w:w="5558" w:type="dxa"/>
            <w:shd w:val="clear" w:color="auto" w:fill="auto"/>
            <w:vAlign w:val="center"/>
          </w:tcPr>
          <w:p>
            <w:pPr>
              <w:adjustRightInd w:val="0"/>
              <w:snapToGrid w:val="0"/>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赶工措施费</w:t>
            </w:r>
          </w:p>
        </w:tc>
        <w:tc>
          <w:tcPr>
            <w:tcW w:w="3032"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99"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5</w:t>
            </w:r>
          </w:p>
        </w:tc>
        <w:tc>
          <w:tcPr>
            <w:tcW w:w="5558"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冬雨季施工费</w:t>
            </w:r>
          </w:p>
        </w:tc>
        <w:tc>
          <w:tcPr>
            <w:tcW w:w="3032"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99"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6</w:t>
            </w:r>
          </w:p>
        </w:tc>
        <w:tc>
          <w:tcPr>
            <w:tcW w:w="5558"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已完工程及设备保护费</w:t>
            </w:r>
          </w:p>
        </w:tc>
        <w:tc>
          <w:tcPr>
            <w:tcW w:w="3032"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99"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7</w:t>
            </w:r>
          </w:p>
        </w:tc>
        <w:tc>
          <w:tcPr>
            <w:tcW w:w="5558"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地上地下设施及建筑物的临时保护费</w:t>
            </w:r>
          </w:p>
        </w:tc>
        <w:tc>
          <w:tcPr>
            <w:tcW w:w="3032"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99"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8</w:t>
            </w:r>
          </w:p>
        </w:tc>
        <w:tc>
          <w:tcPr>
            <w:tcW w:w="5558"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混凝土钢筋混凝土模板及支架费</w:t>
            </w:r>
          </w:p>
        </w:tc>
        <w:tc>
          <w:tcPr>
            <w:tcW w:w="3032"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99"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9</w:t>
            </w:r>
          </w:p>
        </w:tc>
        <w:tc>
          <w:tcPr>
            <w:tcW w:w="5558"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二次搬运费</w:t>
            </w:r>
          </w:p>
        </w:tc>
        <w:tc>
          <w:tcPr>
            <w:tcW w:w="3032"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99"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10</w:t>
            </w:r>
          </w:p>
        </w:tc>
        <w:tc>
          <w:tcPr>
            <w:tcW w:w="5558"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脚手架费</w:t>
            </w:r>
          </w:p>
        </w:tc>
        <w:tc>
          <w:tcPr>
            <w:tcW w:w="3032"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99"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11</w:t>
            </w:r>
          </w:p>
        </w:tc>
        <w:tc>
          <w:tcPr>
            <w:tcW w:w="5558"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垂直运输机械费</w:t>
            </w:r>
          </w:p>
        </w:tc>
        <w:tc>
          <w:tcPr>
            <w:tcW w:w="3032"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99"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12</w:t>
            </w:r>
          </w:p>
        </w:tc>
        <w:tc>
          <w:tcPr>
            <w:tcW w:w="5558"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大型机械设备进出场及安拆费</w:t>
            </w:r>
          </w:p>
        </w:tc>
        <w:tc>
          <w:tcPr>
            <w:tcW w:w="3032"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99"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13</w:t>
            </w:r>
          </w:p>
        </w:tc>
        <w:tc>
          <w:tcPr>
            <w:tcW w:w="5558"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施工排水降水费</w:t>
            </w:r>
          </w:p>
        </w:tc>
        <w:tc>
          <w:tcPr>
            <w:tcW w:w="3032"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99"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14</w:t>
            </w:r>
          </w:p>
        </w:tc>
        <w:tc>
          <w:tcPr>
            <w:tcW w:w="5558"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其他</w:t>
            </w:r>
          </w:p>
        </w:tc>
        <w:tc>
          <w:tcPr>
            <w:tcW w:w="3032"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99"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5558"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3032"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99" w:type="dxa"/>
            <w:shd w:val="clear" w:color="auto" w:fill="auto"/>
            <w:vAlign w:val="center"/>
          </w:tcPr>
          <w:p>
            <w:pPr>
              <w:adjustRightInd w:val="0"/>
              <w:snapToGrid w:val="0"/>
              <w:jc w:val="center"/>
              <w:rPr>
                <w:rFonts w:ascii="Times New Roman" w:hAnsi="Times New Roman" w:eastAsia="宋体" w:cs="Times New Roman"/>
                <w:kern w:val="0"/>
                <w:sz w:val="20"/>
                <w:szCs w:val="21"/>
                <w:highlight w:val="none"/>
              </w:rPr>
            </w:pPr>
          </w:p>
        </w:tc>
        <w:tc>
          <w:tcPr>
            <w:tcW w:w="5558" w:type="dxa"/>
            <w:shd w:val="clear" w:color="auto" w:fill="auto"/>
            <w:vAlign w:val="center"/>
          </w:tcPr>
          <w:p>
            <w:pPr>
              <w:adjustRightInd w:val="0"/>
              <w:snapToGrid w:val="0"/>
              <w:jc w:val="center"/>
              <w:rPr>
                <w:rFonts w:ascii="Times New Roman" w:hAnsi="Times New Roman" w:eastAsia="宋体" w:cs="Times New Roman"/>
                <w:kern w:val="0"/>
                <w:sz w:val="20"/>
                <w:szCs w:val="21"/>
                <w:highlight w:val="none"/>
              </w:rPr>
            </w:pPr>
          </w:p>
        </w:tc>
        <w:tc>
          <w:tcPr>
            <w:tcW w:w="3032" w:type="dxa"/>
            <w:shd w:val="clear" w:color="auto" w:fill="auto"/>
            <w:vAlign w:val="center"/>
          </w:tcPr>
          <w:p>
            <w:pPr>
              <w:adjustRightInd w:val="0"/>
              <w:snapToGrid w:val="0"/>
              <w:jc w:val="left"/>
              <w:rPr>
                <w:rFonts w:ascii="Times New Roman" w:hAnsi="Times New Roman" w:eastAsia="宋体" w:cs="Times New Roman"/>
                <w:kern w:val="0"/>
                <w:sz w:val="20"/>
                <w:szCs w:val="21"/>
                <w:highlight w:val="none"/>
              </w:rPr>
            </w:pPr>
          </w:p>
        </w:tc>
      </w:tr>
    </w:tbl>
    <w:p>
      <w:pPr>
        <w:spacing w:line="20" w:lineRule="exact"/>
        <w:rPr>
          <w:highlight w:val="none"/>
        </w:rPr>
      </w:pPr>
      <w:r>
        <w:rPr>
          <w:highlight w:val="none"/>
        </w:rPr>
        <w:br w:type="page"/>
      </w:r>
    </w:p>
    <w:p>
      <w:pPr>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措施项目清单表（一）</w:t>
      </w:r>
    </w:p>
    <w:p>
      <w:pPr>
        <w:rPr>
          <w:highlight w:val="none"/>
        </w:rPr>
      </w:pPr>
    </w:p>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工程名称：                                标段：               第  页 共  页</w:t>
      </w:r>
    </w:p>
    <w:tbl>
      <w:tblPr>
        <w:tblStyle w:val="39"/>
        <w:tblW w:w="92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384"/>
        <w:gridCol w:w="1451"/>
        <w:gridCol w:w="1934"/>
        <w:gridCol w:w="1185"/>
        <w:gridCol w:w="1276"/>
        <w:gridCol w:w="1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5"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序号</w:t>
            </w:r>
          </w:p>
        </w:tc>
        <w:tc>
          <w:tcPr>
            <w:tcW w:w="1384"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项目编码</w:t>
            </w:r>
          </w:p>
        </w:tc>
        <w:tc>
          <w:tcPr>
            <w:tcW w:w="145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项目名称</w:t>
            </w:r>
          </w:p>
        </w:tc>
        <w:tc>
          <w:tcPr>
            <w:tcW w:w="1934"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项目特征描述</w:t>
            </w:r>
          </w:p>
        </w:tc>
        <w:tc>
          <w:tcPr>
            <w:tcW w:w="1185"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计量单位</w:t>
            </w:r>
          </w:p>
        </w:tc>
        <w:tc>
          <w:tcPr>
            <w:tcW w:w="127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工程量</w:t>
            </w:r>
          </w:p>
        </w:tc>
        <w:tc>
          <w:tcPr>
            <w:tcW w:w="1384"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8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45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93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18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27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8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8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45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93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18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27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8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8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45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93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18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27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8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8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45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93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18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27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8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8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45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93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18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27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8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8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45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93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18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27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8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8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45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93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18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27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8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8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45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93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18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27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8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8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45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93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18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27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8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8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45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93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18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27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8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8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45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93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18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27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8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8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45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93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18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27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8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8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45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93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18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27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8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8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45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93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18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27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8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8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45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93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18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27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8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8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45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93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18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27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8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8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45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93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18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27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8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8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45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93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18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27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8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8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45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93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18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27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8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bl>
    <w:p>
      <w:pPr>
        <w:spacing w:line="20" w:lineRule="exact"/>
        <w:rPr>
          <w:highlight w:val="none"/>
        </w:rPr>
      </w:pPr>
      <w:r>
        <w:rPr>
          <w:highlight w:val="none"/>
        </w:rPr>
        <w:br w:type="page"/>
      </w:r>
    </w:p>
    <w:p>
      <w:pPr>
        <w:jc w:val="center"/>
        <w:rPr>
          <w:rFonts w:hint="eastAsia" w:ascii="宋体" w:hAnsi="宋体" w:eastAsia="宋体" w:cs="宋体"/>
          <w:sz w:val="32"/>
          <w:szCs w:val="32"/>
          <w:highlight w:val="none"/>
        </w:rPr>
      </w:pPr>
      <w:r>
        <w:rPr>
          <w:rFonts w:hint="eastAsia" w:ascii="宋体" w:hAnsi="宋体" w:eastAsia="宋体" w:cs="宋体"/>
          <w:b/>
          <w:bCs/>
          <w:sz w:val="32"/>
          <w:szCs w:val="32"/>
          <w:highlight w:val="none"/>
        </w:rPr>
        <w:t>其他项目清单汇总表</w:t>
      </w:r>
    </w:p>
    <w:p>
      <w:pPr>
        <w:rPr>
          <w:highlight w:val="none"/>
        </w:rPr>
      </w:pPr>
    </w:p>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工程名称：                                标段：               第  页 共  页</w:t>
      </w:r>
    </w:p>
    <w:tbl>
      <w:tblPr>
        <w:tblStyle w:val="39"/>
        <w:tblW w:w="92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3267"/>
        <w:gridCol w:w="3262"/>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4"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序号</w:t>
            </w:r>
          </w:p>
        </w:tc>
        <w:tc>
          <w:tcPr>
            <w:tcW w:w="3267"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项 目 名 称</w:t>
            </w:r>
          </w:p>
        </w:tc>
        <w:tc>
          <w:tcPr>
            <w:tcW w:w="326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金额（元）</w:t>
            </w:r>
          </w:p>
        </w:tc>
        <w:tc>
          <w:tcPr>
            <w:tcW w:w="1937"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4"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1</w:t>
            </w:r>
          </w:p>
        </w:tc>
        <w:tc>
          <w:tcPr>
            <w:tcW w:w="3267"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材料设备暂估价</w:t>
            </w:r>
          </w:p>
        </w:tc>
        <w:tc>
          <w:tcPr>
            <w:tcW w:w="3262"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937"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4"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2</w:t>
            </w:r>
          </w:p>
        </w:tc>
        <w:tc>
          <w:tcPr>
            <w:tcW w:w="3267"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计日工</w:t>
            </w:r>
          </w:p>
        </w:tc>
        <w:tc>
          <w:tcPr>
            <w:tcW w:w="3262"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c>
          <w:tcPr>
            <w:tcW w:w="1937"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4"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3</w:t>
            </w:r>
          </w:p>
        </w:tc>
        <w:tc>
          <w:tcPr>
            <w:tcW w:w="3267"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总承包服务费</w:t>
            </w:r>
          </w:p>
        </w:tc>
        <w:tc>
          <w:tcPr>
            <w:tcW w:w="3262"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937"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3267" w:type="dxa"/>
            <w:shd w:val="clear" w:color="auto" w:fill="auto"/>
            <w:vAlign w:val="center"/>
          </w:tcPr>
          <w:p>
            <w:pPr>
              <w:adjustRightInd w:val="0"/>
              <w:snapToGrid w:val="0"/>
              <w:jc w:val="left"/>
              <w:rPr>
                <w:rFonts w:ascii="Times New Roman" w:hAnsi="Times New Roman" w:eastAsia="宋体" w:cs="Times New Roman"/>
                <w:kern w:val="0"/>
                <w:sz w:val="20"/>
                <w:szCs w:val="20"/>
                <w:highlight w:val="none"/>
              </w:rPr>
            </w:pPr>
          </w:p>
        </w:tc>
        <w:tc>
          <w:tcPr>
            <w:tcW w:w="3262" w:type="dxa"/>
            <w:shd w:val="clear" w:color="auto" w:fill="auto"/>
            <w:vAlign w:val="center"/>
          </w:tcPr>
          <w:p>
            <w:pPr>
              <w:adjustRightInd w:val="0"/>
              <w:snapToGrid w:val="0"/>
              <w:jc w:val="left"/>
              <w:rPr>
                <w:rFonts w:ascii="Times New Roman" w:hAnsi="Times New Roman" w:eastAsia="宋体" w:cs="Times New Roman"/>
                <w:kern w:val="0"/>
                <w:sz w:val="20"/>
                <w:szCs w:val="20"/>
                <w:highlight w:val="none"/>
              </w:rPr>
            </w:pPr>
          </w:p>
        </w:tc>
        <w:tc>
          <w:tcPr>
            <w:tcW w:w="193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3267" w:type="dxa"/>
            <w:shd w:val="clear" w:color="auto" w:fill="auto"/>
            <w:vAlign w:val="center"/>
          </w:tcPr>
          <w:p>
            <w:pPr>
              <w:adjustRightInd w:val="0"/>
              <w:snapToGrid w:val="0"/>
              <w:jc w:val="left"/>
              <w:rPr>
                <w:rFonts w:ascii="Times New Roman" w:hAnsi="Times New Roman" w:eastAsia="宋体" w:cs="Times New Roman"/>
                <w:kern w:val="0"/>
                <w:sz w:val="20"/>
                <w:szCs w:val="20"/>
                <w:highlight w:val="none"/>
              </w:rPr>
            </w:pPr>
          </w:p>
        </w:tc>
        <w:tc>
          <w:tcPr>
            <w:tcW w:w="3262" w:type="dxa"/>
            <w:shd w:val="clear" w:color="auto" w:fill="auto"/>
            <w:vAlign w:val="center"/>
          </w:tcPr>
          <w:p>
            <w:pPr>
              <w:adjustRightInd w:val="0"/>
              <w:snapToGrid w:val="0"/>
              <w:jc w:val="left"/>
              <w:rPr>
                <w:rFonts w:ascii="Times New Roman" w:hAnsi="Times New Roman" w:eastAsia="宋体" w:cs="Times New Roman"/>
                <w:kern w:val="0"/>
                <w:sz w:val="20"/>
                <w:szCs w:val="20"/>
                <w:highlight w:val="none"/>
              </w:rPr>
            </w:pPr>
          </w:p>
        </w:tc>
        <w:tc>
          <w:tcPr>
            <w:tcW w:w="193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3267" w:type="dxa"/>
            <w:shd w:val="clear" w:color="auto" w:fill="auto"/>
            <w:vAlign w:val="center"/>
          </w:tcPr>
          <w:p>
            <w:pPr>
              <w:adjustRightInd w:val="0"/>
              <w:snapToGrid w:val="0"/>
              <w:jc w:val="left"/>
              <w:rPr>
                <w:rFonts w:ascii="Times New Roman" w:hAnsi="Times New Roman" w:eastAsia="宋体" w:cs="Times New Roman"/>
                <w:kern w:val="0"/>
                <w:sz w:val="20"/>
                <w:szCs w:val="20"/>
                <w:highlight w:val="none"/>
              </w:rPr>
            </w:pPr>
          </w:p>
        </w:tc>
        <w:tc>
          <w:tcPr>
            <w:tcW w:w="3262" w:type="dxa"/>
            <w:shd w:val="clear" w:color="auto" w:fill="auto"/>
            <w:vAlign w:val="center"/>
          </w:tcPr>
          <w:p>
            <w:pPr>
              <w:adjustRightInd w:val="0"/>
              <w:snapToGrid w:val="0"/>
              <w:jc w:val="left"/>
              <w:rPr>
                <w:rFonts w:ascii="Times New Roman" w:hAnsi="Times New Roman" w:eastAsia="宋体" w:cs="Times New Roman"/>
                <w:kern w:val="0"/>
                <w:sz w:val="20"/>
                <w:szCs w:val="20"/>
                <w:highlight w:val="none"/>
              </w:rPr>
            </w:pPr>
          </w:p>
        </w:tc>
        <w:tc>
          <w:tcPr>
            <w:tcW w:w="193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3267" w:type="dxa"/>
            <w:shd w:val="clear" w:color="auto" w:fill="auto"/>
            <w:vAlign w:val="center"/>
          </w:tcPr>
          <w:p>
            <w:pPr>
              <w:adjustRightInd w:val="0"/>
              <w:snapToGrid w:val="0"/>
              <w:jc w:val="left"/>
              <w:rPr>
                <w:rFonts w:ascii="Times New Roman" w:hAnsi="Times New Roman" w:eastAsia="宋体" w:cs="Times New Roman"/>
                <w:kern w:val="0"/>
                <w:sz w:val="20"/>
                <w:szCs w:val="20"/>
                <w:highlight w:val="none"/>
              </w:rPr>
            </w:pPr>
          </w:p>
        </w:tc>
        <w:tc>
          <w:tcPr>
            <w:tcW w:w="3262" w:type="dxa"/>
            <w:shd w:val="clear" w:color="auto" w:fill="auto"/>
            <w:vAlign w:val="center"/>
          </w:tcPr>
          <w:p>
            <w:pPr>
              <w:adjustRightInd w:val="0"/>
              <w:snapToGrid w:val="0"/>
              <w:jc w:val="left"/>
              <w:rPr>
                <w:rFonts w:ascii="Times New Roman" w:hAnsi="Times New Roman" w:eastAsia="宋体" w:cs="Times New Roman"/>
                <w:kern w:val="0"/>
                <w:sz w:val="20"/>
                <w:szCs w:val="20"/>
                <w:highlight w:val="none"/>
              </w:rPr>
            </w:pPr>
          </w:p>
        </w:tc>
        <w:tc>
          <w:tcPr>
            <w:tcW w:w="193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3267" w:type="dxa"/>
            <w:shd w:val="clear" w:color="auto" w:fill="auto"/>
            <w:vAlign w:val="center"/>
          </w:tcPr>
          <w:p>
            <w:pPr>
              <w:adjustRightInd w:val="0"/>
              <w:snapToGrid w:val="0"/>
              <w:jc w:val="left"/>
              <w:rPr>
                <w:rFonts w:ascii="Times New Roman" w:hAnsi="Times New Roman" w:eastAsia="宋体" w:cs="Times New Roman"/>
                <w:kern w:val="0"/>
                <w:sz w:val="20"/>
                <w:szCs w:val="20"/>
                <w:highlight w:val="none"/>
              </w:rPr>
            </w:pPr>
          </w:p>
        </w:tc>
        <w:tc>
          <w:tcPr>
            <w:tcW w:w="3262" w:type="dxa"/>
            <w:shd w:val="clear" w:color="auto" w:fill="auto"/>
            <w:vAlign w:val="center"/>
          </w:tcPr>
          <w:p>
            <w:pPr>
              <w:adjustRightInd w:val="0"/>
              <w:snapToGrid w:val="0"/>
              <w:jc w:val="left"/>
              <w:rPr>
                <w:rFonts w:ascii="Times New Roman" w:hAnsi="Times New Roman" w:eastAsia="宋体" w:cs="Times New Roman"/>
                <w:kern w:val="0"/>
                <w:sz w:val="20"/>
                <w:szCs w:val="20"/>
                <w:highlight w:val="none"/>
              </w:rPr>
            </w:pPr>
          </w:p>
        </w:tc>
        <w:tc>
          <w:tcPr>
            <w:tcW w:w="193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3267" w:type="dxa"/>
            <w:shd w:val="clear" w:color="auto" w:fill="auto"/>
            <w:vAlign w:val="center"/>
          </w:tcPr>
          <w:p>
            <w:pPr>
              <w:adjustRightInd w:val="0"/>
              <w:snapToGrid w:val="0"/>
              <w:jc w:val="left"/>
              <w:rPr>
                <w:rFonts w:ascii="Times New Roman" w:hAnsi="Times New Roman" w:eastAsia="宋体" w:cs="Times New Roman"/>
                <w:kern w:val="0"/>
                <w:sz w:val="20"/>
                <w:szCs w:val="20"/>
                <w:highlight w:val="none"/>
              </w:rPr>
            </w:pPr>
          </w:p>
        </w:tc>
        <w:tc>
          <w:tcPr>
            <w:tcW w:w="3262" w:type="dxa"/>
            <w:shd w:val="clear" w:color="auto" w:fill="auto"/>
            <w:vAlign w:val="center"/>
          </w:tcPr>
          <w:p>
            <w:pPr>
              <w:adjustRightInd w:val="0"/>
              <w:snapToGrid w:val="0"/>
              <w:jc w:val="left"/>
              <w:rPr>
                <w:rFonts w:ascii="Times New Roman" w:hAnsi="Times New Roman" w:eastAsia="宋体" w:cs="Times New Roman"/>
                <w:kern w:val="0"/>
                <w:sz w:val="20"/>
                <w:szCs w:val="20"/>
                <w:highlight w:val="none"/>
              </w:rPr>
            </w:pPr>
          </w:p>
        </w:tc>
        <w:tc>
          <w:tcPr>
            <w:tcW w:w="193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3267" w:type="dxa"/>
            <w:shd w:val="clear" w:color="auto" w:fill="auto"/>
            <w:vAlign w:val="center"/>
          </w:tcPr>
          <w:p>
            <w:pPr>
              <w:adjustRightInd w:val="0"/>
              <w:snapToGrid w:val="0"/>
              <w:jc w:val="left"/>
              <w:rPr>
                <w:rFonts w:ascii="Times New Roman" w:hAnsi="Times New Roman" w:eastAsia="宋体" w:cs="Times New Roman"/>
                <w:kern w:val="0"/>
                <w:sz w:val="20"/>
                <w:szCs w:val="20"/>
                <w:highlight w:val="none"/>
              </w:rPr>
            </w:pPr>
          </w:p>
        </w:tc>
        <w:tc>
          <w:tcPr>
            <w:tcW w:w="3262" w:type="dxa"/>
            <w:shd w:val="clear" w:color="auto" w:fill="auto"/>
            <w:vAlign w:val="center"/>
          </w:tcPr>
          <w:p>
            <w:pPr>
              <w:adjustRightInd w:val="0"/>
              <w:snapToGrid w:val="0"/>
              <w:jc w:val="left"/>
              <w:rPr>
                <w:rFonts w:ascii="Times New Roman" w:hAnsi="Times New Roman" w:eastAsia="宋体" w:cs="Times New Roman"/>
                <w:kern w:val="0"/>
                <w:sz w:val="20"/>
                <w:szCs w:val="20"/>
                <w:highlight w:val="none"/>
              </w:rPr>
            </w:pPr>
          </w:p>
        </w:tc>
        <w:tc>
          <w:tcPr>
            <w:tcW w:w="193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3267" w:type="dxa"/>
            <w:shd w:val="clear" w:color="auto" w:fill="auto"/>
            <w:vAlign w:val="center"/>
          </w:tcPr>
          <w:p>
            <w:pPr>
              <w:adjustRightInd w:val="0"/>
              <w:snapToGrid w:val="0"/>
              <w:jc w:val="left"/>
              <w:rPr>
                <w:rFonts w:ascii="Times New Roman" w:hAnsi="Times New Roman" w:eastAsia="宋体" w:cs="Times New Roman"/>
                <w:kern w:val="0"/>
                <w:sz w:val="20"/>
                <w:szCs w:val="20"/>
                <w:highlight w:val="none"/>
              </w:rPr>
            </w:pPr>
          </w:p>
        </w:tc>
        <w:tc>
          <w:tcPr>
            <w:tcW w:w="3262" w:type="dxa"/>
            <w:shd w:val="clear" w:color="auto" w:fill="auto"/>
            <w:vAlign w:val="center"/>
          </w:tcPr>
          <w:p>
            <w:pPr>
              <w:adjustRightInd w:val="0"/>
              <w:snapToGrid w:val="0"/>
              <w:jc w:val="left"/>
              <w:rPr>
                <w:rFonts w:ascii="Times New Roman" w:hAnsi="Times New Roman" w:eastAsia="宋体" w:cs="Times New Roman"/>
                <w:kern w:val="0"/>
                <w:sz w:val="20"/>
                <w:szCs w:val="20"/>
                <w:highlight w:val="none"/>
              </w:rPr>
            </w:pPr>
          </w:p>
        </w:tc>
        <w:tc>
          <w:tcPr>
            <w:tcW w:w="193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3267" w:type="dxa"/>
            <w:shd w:val="clear" w:color="auto" w:fill="auto"/>
            <w:vAlign w:val="center"/>
          </w:tcPr>
          <w:p>
            <w:pPr>
              <w:adjustRightInd w:val="0"/>
              <w:snapToGrid w:val="0"/>
              <w:jc w:val="left"/>
              <w:rPr>
                <w:rFonts w:ascii="Times New Roman" w:hAnsi="Times New Roman" w:eastAsia="宋体" w:cs="Times New Roman"/>
                <w:kern w:val="0"/>
                <w:sz w:val="20"/>
                <w:szCs w:val="20"/>
                <w:highlight w:val="none"/>
              </w:rPr>
            </w:pPr>
          </w:p>
        </w:tc>
        <w:tc>
          <w:tcPr>
            <w:tcW w:w="3262" w:type="dxa"/>
            <w:shd w:val="clear" w:color="auto" w:fill="auto"/>
            <w:vAlign w:val="center"/>
          </w:tcPr>
          <w:p>
            <w:pPr>
              <w:adjustRightInd w:val="0"/>
              <w:snapToGrid w:val="0"/>
              <w:jc w:val="left"/>
              <w:rPr>
                <w:rFonts w:ascii="Times New Roman" w:hAnsi="Times New Roman" w:eastAsia="宋体" w:cs="Times New Roman"/>
                <w:kern w:val="0"/>
                <w:sz w:val="20"/>
                <w:szCs w:val="20"/>
                <w:highlight w:val="none"/>
              </w:rPr>
            </w:pPr>
          </w:p>
        </w:tc>
        <w:tc>
          <w:tcPr>
            <w:tcW w:w="193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3267" w:type="dxa"/>
            <w:shd w:val="clear" w:color="auto" w:fill="auto"/>
            <w:vAlign w:val="center"/>
          </w:tcPr>
          <w:p>
            <w:pPr>
              <w:adjustRightInd w:val="0"/>
              <w:snapToGrid w:val="0"/>
              <w:jc w:val="left"/>
              <w:rPr>
                <w:rFonts w:ascii="Times New Roman" w:hAnsi="Times New Roman" w:eastAsia="宋体" w:cs="Times New Roman"/>
                <w:kern w:val="0"/>
                <w:sz w:val="20"/>
                <w:szCs w:val="20"/>
                <w:highlight w:val="none"/>
              </w:rPr>
            </w:pPr>
          </w:p>
        </w:tc>
        <w:tc>
          <w:tcPr>
            <w:tcW w:w="3262" w:type="dxa"/>
            <w:shd w:val="clear" w:color="auto" w:fill="auto"/>
            <w:vAlign w:val="center"/>
          </w:tcPr>
          <w:p>
            <w:pPr>
              <w:adjustRightInd w:val="0"/>
              <w:snapToGrid w:val="0"/>
              <w:jc w:val="left"/>
              <w:rPr>
                <w:rFonts w:ascii="Times New Roman" w:hAnsi="Times New Roman" w:eastAsia="宋体" w:cs="Times New Roman"/>
                <w:kern w:val="0"/>
                <w:sz w:val="20"/>
                <w:szCs w:val="20"/>
                <w:highlight w:val="none"/>
              </w:rPr>
            </w:pPr>
          </w:p>
        </w:tc>
        <w:tc>
          <w:tcPr>
            <w:tcW w:w="193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3267" w:type="dxa"/>
            <w:shd w:val="clear" w:color="auto" w:fill="auto"/>
            <w:vAlign w:val="center"/>
          </w:tcPr>
          <w:p>
            <w:pPr>
              <w:adjustRightInd w:val="0"/>
              <w:snapToGrid w:val="0"/>
              <w:jc w:val="left"/>
              <w:rPr>
                <w:rFonts w:ascii="Times New Roman" w:hAnsi="Times New Roman" w:eastAsia="宋体" w:cs="Times New Roman"/>
                <w:kern w:val="0"/>
                <w:sz w:val="20"/>
                <w:szCs w:val="20"/>
                <w:highlight w:val="none"/>
              </w:rPr>
            </w:pPr>
          </w:p>
        </w:tc>
        <w:tc>
          <w:tcPr>
            <w:tcW w:w="3262" w:type="dxa"/>
            <w:shd w:val="clear" w:color="auto" w:fill="auto"/>
            <w:vAlign w:val="center"/>
          </w:tcPr>
          <w:p>
            <w:pPr>
              <w:adjustRightInd w:val="0"/>
              <w:snapToGrid w:val="0"/>
              <w:jc w:val="left"/>
              <w:rPr>
                <w:rFonts w:ascii="Times New Roman" w:hAnsi="Times New Roman" w:eastAsia="宋体" w:cs="Times New Roman"/>
                <w:kern w:val="0"/>
                <w:sz w:val="20"/>
                <w:szCs w:val="20"/>
                <w:highlight w:val="none"/>
              </w:rPr>
            </w:pPr>
          </w:p>
        </w:tc>
        <w:tc>
          <w:tcPr>
            <w:tcW w:w="193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3267" w:type="dxa"/>
            <w:shd w:val="clear" w:color="auto" w:fill="auto"/>
            <w:vAlign w:val="center"/>
          </w:tcPr>
          <w:p>
            <w:pPr>
              <w:adjustRightInd w:val="0"/>
              <w:snapToGrid w:val="0"/>
              <w:jc w:val="left"/>
              <w:rPr>
                <w:rFonts w:ascii="Times New Roman" w:hAnsi="Times New Roman" w:eastAsia="宋体" w:cs="Times New Roman"/>
                <w:kern w:val="0"/>
                <w:sz w:val="20"/>
                <w:szCs w:val="20"/>
                <w:highlight w:val="none"/>
              </w:rPr>
            </w:pPr>
          </w:p>
        </w:tc>
        <w:tc>
          <w:tcPr>
            <w:tcW w:w="3262" w:type="dxa"/>
            <w:shd w:val="clear" w:color="auto" w:fill="auto"/>
            <w:vAlign w:val="center"/>
          </w:tcPr>
          <w:p>
            <w:pPr>
              <w:adjustRightInd w:val="0"/>
              <w:snapToGrid w:val="0"/>
              <w:jc w:val="left"/>
              <w:rPr>
                <w:rFonts w:ascii="Times New Roman" w:hAnsi="Times New Roman" w:eastAsia="宋体" w:cs="Times New Roman"/>
                <w:kern w:val="0"/>
                <w:sz w:val="20"/>
                <w:szCs w:val="20"/>
                <w:highlight w:val="none"/>
              </w:rPr>
            </w:pPr>
          </w:p>
        </w:tc>
        <w:tc>
          <w:tcPr>
            <w:tcW w:w="193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3267" w:type="dxa"/>
            <w:shd w:val="clear" w:color="auto" w:fill="auto"/>
            <w:vAlign w:val="center"/>
          </w:tcPr>
          <w:p>
            <w:pPr>
              <w:adjustRightInd w:val="0"/>
              <w:snapToGrid w:val="0"/>
              <w:jc w:val="left"/>
              <w:rPr>
                <w:rFonts w:ascii="Times New Roman" w:hAnsi="Times New Roman" w:eastAsia="宋体" w:cs="Times New Roman"/>
                <w:kern w:val="0"/>
                <w:sz w:val="20"/>
                <w:szCs w:val="20"/>
                <w:highlight w:val="none"/>
              </w:rPr>
            </w:pPr>
          </w:p>
        </w:tc>
        <w:tc>
          <w:tcPr>
            <w:tcW w:w="3262" w:type="dxa"/>
            <w:shd w:val="clear" w:color="auto" w:fill="auto"/>
            <w:vAlign w:val="center"/>
          </w:tcPr>
          <w:p>
            <w:pPr>
              <w:adjustRightInd w:val="0"/>
              <w:snapToGrid w:val="0"/>
              <w:jc w:val="left"/>
              <w:rPr>
                <w:rFonts w:ascii="Times New Roman" w:hAnsi="Times New Roman" w:eastAsia="宋体" w:cs="Times New Roman"/>
                <w:kern w:val="0"/>
                <w:sz w:val="20"/>
                <w:szCs w:val="20"/>
                <w:highlight w:val="none"/>
              </w:rPr>
            </w:pPr>
          </w:p>
        </w:tc>
        <w:tc>
          <w:tcPr>
            <w:tcW w:w="193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3267" w:type="dxa"/>
            <w:shd w:val="clear" w:color="auto" w:fill="auto"/>
            <w:vAlign w:val="center"/>
          </w:tcPr>
          <w:p>
            <w:pPr>
              <w:adjustRightInd w:val="0"/>
              <w:snapToGrid w:val="0"/>
              <w:jc w:val="left"/>
              <w:rPr>
                <w:rFonts w:ascii="Times New Roman" w:hAnsi="Times New Roman" w:eastAsia="宋体" w:cs="Times New Roman"/>
                <w:kern w:val="0"/>
                <w:sz w:val="20"/>
                <w:szCs w:val="20"/>
                <w:highlight w:val="none"/>
              </w:rPr>
            </w:pPr>
          </w:p>
        </w:tc>
        <w:tc>
          <w:tcPr>
            <w:tcW w:w="3262" w:type="dxa"/>
            <w:shd w:val="clear" w:color="auto" w:fill="auto"/>
            <w:vAlign w:val="center"/>
          </w:tcPr>
          <w:p>
            <w:pPr>
              <w:adjustRightInd w:val="0"/>
              <w:snapToGrid w:val="0"/>
              <w:jc w:val="left"/>
              <w:rPr>
                <w:rFonts w:ascii="Times New Roman" w:hAnsi="Times New Roman" w:eastAsia="宋体" w:cs="Times New Roman"/>
                <w:kern w:val="0"/>
                <w:sz w:val="20"/>
                <w:szCs w:val="20"/>
                <w:highlight w:val="none"/>
              </w:rPr>
            </w:pPr>
          </w:p>
        </w:tc>
        <w:tc>
          <w:tcPr>
            <w:tcW w:w="193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3267" w:type="dxa"/>
            <w:shd w:val="clear" w:color="auto" w:fill="auto"/>
            <w:vAlign w:val="center"/>
          </w:tcPr>
          <w:p>
            <w:pPr>
              <w:adjustRightInd w:val="0"/>
              <w:snapToGrid w:val="0"/>
              <w:jc w:val="left"/>
              <w:rPr>
                <w:rFonts w:ascii="Times New Roman" w:hAnsi="Times New Roman" w:eastAsia="宋体" w:cs="Times New Roman"/>
                <w:kern w:val="0"/>
                <w:sz w:val="20"/>
                <w:szCs w:val="20"/>
                <w:highlight w:val="none"/>
              </w:rPr>
            </w:pPr>
          </w:p>
        </w:tc>
        <w:tc>
          <w:tcPr>
            <w:tcW w:w="3262" w:type="dxa"/>
            <w:shd w:val="clear" w:color="auto" w:fill="auto"/>
            <w:vAlign w:val="center"/>
          </w:tcPr>
          <w:p>
            <w:pPr>
              <w:adjustRightInd w:val="0"/>
              <w:snapToGrid w:val="0"/>
              <w:jc w:val="left"/>
              <w:rPr>
                <w:rFonts w:ascii="Times New Roman" w:hAnsi="Times New Roman" w:eastAsia="宋体" w:cs="Times New Roman"/>
                <w:kern w:val="0"/>
                <w:sz w:val="20"/>
                <w:szCs w:val="20"/>
                <w:highlight w:val="none"/>
              </w:rPr>
            </w:pPr>
          </w:p>
        </w:tc>
        <w:tc>
          <w:tcPr>
            <w:tcW w:w="193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4081" w:type="dxa"/>
            <w:gridSpan w:val="2"/>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合        计</w:t>
            </w:r>
          </w:p>
        </w:tc>
        <w:tc>
          <w:tcPr>
            <w:tcW w:w="3262"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937"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w:t>
            </w:r>
          </w:p>
        </w:tc>
      </w:tr>
    </w:tbl>
    <w:p>
      <w:pPr>
        <w:spacing w:line="20" w:lineRule="exact"/>
        <w:rPr>
          <w:highlight w:val="none"/>
        </w:rPr>
      </w:pPr>
      <w:r>
        <w:rPr>
          <w:highlight w:val="none"/>
        </w:rPr>
        <w:br w:type="page"/>
      </w:r>
    </w:p>
    <w:p>
      <w:pPr>
        <w:jc w:val="center"/>
        <w:rPr>
          <w:rFonts w:hint="eastAsia" w:ascii="宋体" w:hAnsi="宋体" w:eastAsia="宋体" w:cs="宋体"/>
          <w:sz w:val="32"/>
          <w:szCs w:val="32"/>
          <w:highlight w:val="none"/>
        </w:rPr>
      </w:pPr>
      <w:r>
        <w:rPr>
          <w:rFonts w:hint="eastAsia" w:ascii="宋体" w:hAnsi="宋体" w:eastAsia="宋体" w:cs="宋体"/>
          <w:b/>
          <w:bCs/>
          <w:sz w:val="32"/>
          <w:szCs w:val="32"/>
          <w:highlight w:val="none"/>
        </w:rPr>
        <w:t>材料设备暂估价表</w:t>
      </w:r>
    </w:p>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工程名称：                                标段：               第  页 共  页</w:t>
      </w:r>
    </w:p>
    <w:tbl>
      <w:tblPr>
        <w:tblStyle w:val="39"/>
        <w:tblW w:w="92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2514"/>
        <w:gridCol w:w="828"/>
        <w:gridCol w:w="711"/>
        <w:gridCol w:w="1326"/>
        <w:gridCol w:w="1800"/>
        <w:gridCol w:w="1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5"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序号</w:t>
            </w:r>
          </w:p>
        </w:tc>
        <w:tc>
          <w:tcPr>
            <w:tcW w:w="2514"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材料名称、规格、型号</w:t>
            </w:r>
          </w:p>
        </w:tc>
        <w:tc>
          <w:tcPr>
            <w:tcW w:w="828"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计量单位</w:t>
            </w:r>
          </w:p>
        </w:tc>
        <w:tc>
          <w:tcPr>
            <w:tcW w:w="71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数量</w:t>
            </w:r>
          </w:p>
        </w:tc>
        <w:tc>
          <w:tcPr>
            <w:tcW w:w="132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暂估单价</w:t>
            </w:r>
          </w:p>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（元）</w:t>
            </w:r>
          </w:p>
        </w:tc>
        <w:tc>
          <w:tcPr>
            <w:tcW w:w="180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暂估合价</w:t>
            </w:r>
          </w:p>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（元）</w:t>
            </w:r>
          </w:p>
        </w:tc>
        <w:tc>
          <w:tcPr>
            <w:tcW w:w="1294"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51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828"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71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2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800"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29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51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828"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71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2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800"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29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51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828"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71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2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800"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29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51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828"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71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2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800"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29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51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828"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71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2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800"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29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51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828"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71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2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800"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29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51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828"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71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2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800"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29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51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828"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71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2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800"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29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51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828"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71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2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800"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29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51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828"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71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2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800"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29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51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828"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71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2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800"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29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51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828"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71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2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800"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29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51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828"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71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2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800"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29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51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828"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71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2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800"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29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51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828"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71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2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800"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29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51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828"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71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2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800"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29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51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828"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71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2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800"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29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15"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51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828"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71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32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800"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294"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194" w:type="dxa"/>
            <w:gridSpan w:val="5"/>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合    计</w:t>
            </w:r>
          </w:p>
        </w:tc>
        <w:tc>
          <w:tcPr>
            <w:tcW w:w="180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294"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bl>
    <w:p>
      <w:pPr>
        <w:spacing w:line="20" w:lineRule="exact"/>
        <w:rPr>
          <w:highlight w:val="none"/>
        </w:rPr>
      </w:pPr>
      <w:r>
        <w:rPr>
          <w:highlight w:val="none"/>
        </w:rPr>
        <w:br w:type="page"/>
      </w:r>
    </w:p>
    <w:p>
      <w:pPr>
        <w:jc w:val="center"/>
        <w:rPr>
          <w:rFonts w:hint="eastAsia" w:ascii="宋体" w:hAnsi="宋体" w:eastAsia="宋体" w:cs="宋体"/>
          <w:sz w:val="32"/>
          <w:szCs w:val="32"/>
          <w:highlight w:val="none"/>
        </w:rPr>
      </w:pPr>
      <w:r>
        <w:rPr>
          <w:rFonts w:hint="eastAsia" w:ascii="宋体" w:hAnsi="宋体" w:eastAsia="宋体" w:cs="宋体"/>
          <w:b/>
          <w:bCs/>
          <w:sz w:val="32"/>
          <w:szCs w:val="32"/>
          <w:highlight w:val="none"/>
        </w:rPr>
        <w:t>计 日 工 表</w:t>
      </w:r>
    </w:p>
    <w:p>
      <w:pPr>
        <w:rPr>
          <w:highlight w:val="none"/>
        </w:rPr>
      </w:pPr>
    </w:p>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工程名称：                                标段：               第  页 共  页</w:t>
      </w:r>
    </w:p>
    <w:tbl>
      <w:tblPr>
        <w:tblStyle w:val="39"/>
        <w:tblW w:w="92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0"/>
        <w:gridCol w:w="3792"/>
        <w:gridCol w:w="803"/>
        <w:gridCol w:w="1778"/>
        <w:gridCol w:w="1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0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编号</w:t>
            </w:r>
          </w:p>
        </w:tc>
        <w:tc>
          <w:tcPr>
            <w:tcW w:w="379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项 目 名 称</w:t>
            </w:r>
          </w:p>
        </w:tc>
        <w:tc>
          <w:tcPr>
            <w:tcW w:w="803"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单位</w:t>
            </w:r>
          </w:p>
        </w:tc>
        <w:tc>
          <w:tcPr>
            <w:tcW w:w="1778"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暂定数量</w:t>
            </w:r>
          </w:p>
        </w:tc>
        <w:tc>
          <w:tcPr>
            <w:tcW w:w="191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0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一</w:t>
            </w:r>
          </w:p>
        </w:tc>
        <w:tc>
          <w:tcPr>
            <w:tcW w:w="379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人    工</w:t>
            </w:r>
          </w:p>
        </w:tc>
        <w:tc>
          <w:tcPr>
            <w:tcW w:w="803"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778"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91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0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1</w:t>
            </w:r>
          </w:p>
        </w:tc>
        <w:tc>
          <w:tcPr>
            <w:tcW w:w="3792"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803"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778"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91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0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2</w:t>
            </w:r>
          </w:p>
        </w:tc>
        <w:tc>
          <w:tcPr>
            <w:tcW w:w="3792"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803"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778"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91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0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3</w:t>
            </w:r>
          </w:p>
        </w:tc>
        <w:tc>
          <w:tcPr>
            <w:tcW w:w="3792"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803"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778"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91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0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4</w:t>
            </w:r>
          </w:p>
        </w:tc>
        <w:tc>
          <w:tcPr>
            <w:tcW w:w="3792"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803"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778"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91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0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3792"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803"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778"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91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0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二</w:t>
            </w:r>
          </w:p>
        </w:tc>
        <w:tc>
          <w:tcPr>
            <w:tcW w:w="379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材     料</w:t>
            </w:r>
          </w:p>
        </w:tc>
        <w:tc>
          <w:tcPr>
            <w:tcW w:w="803"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778"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91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0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1</w:t>
            </w:r>
          </w:p>
        </w:tc>
        <w:tc>
          <w:tcPr>
            <w:tcW w:w="3792"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803"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778"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91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0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2</w:t>
            </w:r>
          </w:p>
        </w:tc>
        <w:tc>
          <w:tcPr>
            <w:tcW w:w="3792"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803"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778"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91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0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3</w:t>
            </w:r>
          </w:p>
        </w:tc>
        <w:tc>
          <w:tcPr>
            <w:tcW w:w="3792"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803"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778"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91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0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4</w:t>
            </w:r>
          </w:p>
        </w:tc>
        <w:tc>
          <w:tcPr>
            <w:tcW w:w="3792"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803"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778"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91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0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5</w:t>
            </w:r>
          </w:p>
        </w:tc>
        <w:tc>
          <w:tcPr>
            <w:tcW w:w="3792"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803"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778"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91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0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3792"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803"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778"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91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0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三</w:t>
            </w:r>
          </w:p>
        </w:tc>
        <w:tc>
          <w:tcPr>
            <w:tcW w:w="379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施 工 机 械</w:t>
            </w:r>
          </w:p>
        </w:tc>
        <w:tc>
          <w:tcPr>
            <w:tcW w:w="803"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778"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91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0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1</w:t>
            </w:r>
          </w:p>
        </w:tc>
        <w:tc>
          <w:tcPr>
            <w:tcW w:w="3792"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803"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778"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91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0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2</w:t>
            </w:r>
          </w:p>
        </w:tc>
        <w:tc>
          <w:tcPr>
            <w:tcW w:w="3792"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803"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778"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91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0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3</w:t>
            </w:r>
          </w:p>
        </w:tc>
        <w:tc>
          <w:tcPr>
            <w:tcW w:w="3792"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803"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778"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91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0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4</w:t>
            </w:r>
          </w:p>
        </w:tc>
        <w:tc>
          <w:tcPr>
            <w:tcW w:w="3792"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803"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778"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916"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0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3792"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803"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778"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1916"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r>
    </w:tbl>
    <w:p>
      <w:pPr>
        <w:spacing w:line="20" w:lineRule="exact"/>
        <w:rPr>
          <w:highlight w:val="none"/>
        </w:rPr>
      </w:pPr>
      <w:r>
        <w:rPr>
          <w:highlight w:val="none"/>
        </w:rPr>
        <w:br w:type="page"/>
      </w:r>
    </w:p>
    <w:p>
      <w:pPr>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总承包服务费表</w:t>
      </w:r>
    </w:p>
    <w:p>
      <w:pPr>
        <w:rPr>
          <w:highlight w:val="none"/>
        </w:rPr>
      </w:pPr>
    </w:p>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工程名称：                                标段：               第  页 共  页</w:t>
      </w:r>
    </w:p>
    <w:tbl>
      <w:tblPr>
        <w:tblStyle w:val="39"/>
        <w:tblW w:w="92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8"/>
        <w:gridCol w:w="3621"/>
        <w:gridCol w:w="2246"/>
        <w:gridCol w:w="2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58"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序号</w:t>
            </w:r>
          </w:p>
        </w:tc>
        <w:tc>
          <w:tcPr>
            <w:tcW w:w="362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工 程 名 称</w:t>
            </w:r>
          </w:p>
        </w:tc>
        <w:tc>
          <w:tcPr>
            <w:tcW w:w="224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项目价值（元）</w:t>
            </w:r>
          </w:p>
        </w:tc>
        <w:tc>
          <w:tcPr>
            <w:tcW w:w="2365"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服务内容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58"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1</w:t>
            </w:r>
          </w:p>
        </w:tc>
        <w:tc>
          <w:tcPr>
            <w:tcW w:w="3621"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分包管理费</w:t>
            </w:r>
          </w:p>
        </w:tc>
        <w:tc>
          <w:tcPr>
            <w:tcW w:w="2246"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c>
          <w:tcPr>
            <w:tcW w:w="2365"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58"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1.1</w:t>
            </w:r>
          </w:p>
        </w:tc>
        <w:tc>
          <w:tcPr>
            <w:tcW w:w="3621"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2246"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c>
          <w:tcPr>
            <w:tcW w:w="2365"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58"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1.2</w:t>
            </w:r>
          </w:p>
        </w:tc>
        <w:tc>
          <w:tcPr>
            <w:tcW w:w="3621"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2246"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c>
          <w:tcPr>
            <w:tcW w:w="2365"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58"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1.3</w:t>
            </w:r>
          </w:p>
        </w:tc>
        <w:tc>
          <w:tcPr>
            <w:tcW w:w="3621"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2246"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c>
          <w:tcPr>
            <w:tcW w:w="2365"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58"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2</w:t>
            </w:r>
          </w:p>
        </w:tc>
        <w:tc>
          <w:tcPr>
            <w:tcW w:w="3621"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总分包配合费</w:t>
            </w:r>
          </w:p>
        </w:tc>
        <w:tc>
          <w:tcPr>
            <w:tcW w:w="2246"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c>
          <w:tcPr>
            <w:tcW w:w="2365"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10" w:hRule="atLeast"/>
          <w:jc w:val="center"/>
        </w:trPr>
        <w:tc>
          <w:tcPr>
            <w:tcW w:w="1058"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2.1</w:t>
            </w:r>
          </w:p>
        </w:tc>
        <w:tc>
          <w:tcPr>
            <w:tcW w:w="3621"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2246"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c>
          <w:tcPr>
            <w:tcW w:w="2365"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58"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2.2</w:t>
            </w:r>
          </w:p>
        </w:tc>
        <w:tc>
          <w:tcPr>
            <w:tcW w:w="3621"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2246"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c>
          <w:tcPr>
            <w:tcW w:w="2365"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58"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2.3</w:t>
            </w:r>
          </w:p>
        </w:tc>
        <w:tc>
          <w:tcPr>
            <w:tcW w:w="3621"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2246"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c>
          <w:tcPr>
            <w:tcW w:w="2365"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58"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3</w:t>
            </w:r>
          </w:p>
        </w:tc>
        <w:tc>
          <w:tcPr>
            <w:tcW w:w="3621"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发包人供应材料设备保管费</w:t>
            </w:r>
          </w:p>
        </w:tc>
        <w:tc>
          <w:tcPr>
            <w:tcW w:w="2246"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c>
          <w:tcPr>
            <w:tcW w:w="2365"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58"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3621"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2246"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c>
          <w:tcPr>
            <w:tcW w:w="2365"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58"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3621" w:type="dxa"/>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p>
        </w:tc>
        <w:tc>
          <w:tcPr>
            <w:tcW w:w="2246"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c>
          <w:tcPr>
            <w:tcW w:w="2365"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r>
    </w:tbl>
    <w:p>
      <w:pPr>
        <w:spacing w:line="20" w:lineRule="exact"/>
        <w:rPr>
          <w:highlight w:val="none"/>
        </w:rPr>
      </w:pPr>
      <w:r>
        <w:rPr>
          <w:highlight w:val="none"/>
        </w:rPr>
        <w:br w:type="page"/>
      </w:r>
    </w:p>
    <w:p>
      <w:pPr>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发包人供应材料设备明细表</w:t>
      </w:r>
    </w:p>
    <w:p>
      <w:pPr>
        <w:rPr>
          <w:highlight w:val="none"/>
        </w:rPr>
      </w:pPr>
    </w:p>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工程名称：                                标段：               第  页 共  页</w:t>
      </w:r>
    </w:p>
    <w:tbl>
      <w:tblPr>
        <w:tblStyle w:val="39"/>
        <w:tblW w:w="92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
        <w:gridCol w:w="3196"/>
        <w:gridCol w:w="812"/>
        <w:gridCol w:w="912"/>
        <w:gridCol w:w="1070"/>
        <w:gridCol w:w="1468"/>
        <w:gridCol w:w="1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7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序号</w:t>
            </w:r>
          </w:p>
        </w:tc>
        <w:tc>
          <w:tcPr>
            <w:tcW w:w="319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材料设备名称、规格及型号</w:t>
            </w:r>
          </w:p>
        </w:tc>
        <w:tc>
          <w:tcPr>
            <w:tcW w:w="81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单位</w:t>
            </w:r>
          </w:p>
        </w:tc>
        <w:tc>
          <w:tcPr>
            <w:tcW w:w="91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数量</w:t>
            </w:r>
          </w:p>
        </w:tc>
        <w:tc>
          <w:tcPr>
            <w:tcW w:w="107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单价（元）</w:t>
            </w:r>
          </w:p>
        </w:tc>
        <w:tc>
          <w:tcPr>
            <w:tcW w:w="1468"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合价（元）</w:t>
            </w:r>
          </w:p>
        </w:tc>
        <w:tc>
          <w:tcPr>
            <w:tcW w:w="106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7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319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81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91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07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468"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06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7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319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81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91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07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468"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06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7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319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81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91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07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468"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06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7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319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81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91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07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468"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06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7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319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81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91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07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468"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06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7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319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81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91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07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468"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06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7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319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81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91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07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468"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06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7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319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81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91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07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468"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06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7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319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81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91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07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468"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06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7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319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81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91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07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468"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06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7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319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81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91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07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468"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06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7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319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81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91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07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468"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06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7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319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81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91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07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468"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06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7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319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81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91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07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468"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06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7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319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81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91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07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468"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06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7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319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81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91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07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468"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06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7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319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81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91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07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468"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06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7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5990" w:type="dxa"/>
            <w:gridSpan w:val="4"/>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合        计</w:t>
            </w:r>
          </w:p>
        </w:tc>
        <w:tc>
          <w:tcPr>
            <w:tcW w:w="1468"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06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bl>
    <w:p>
      <w:pPr>
        <w:spacing w:line="20" w:lineRule="exact"/>
        <w:rPr>
          <w:highlight w:val="none"/>
        </w:rPr>
      </w:pPr>
      <w:r>
        <w:rPr>
          <w:highlight w:val="none"/>
        </w:rPr>
        <w:br w:type="page"/>
      </w:r>
    </w:p>
    <w:p>
      <w:pPr>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规费税金项目清单</w:t>
      </w:r>
    </w:p>
    <w:p>
      <w:pPr>
        <w:rPr>
          <w:szCs w:val="21"/>
          <w:highlight w:val="none"/>
        </w:rPr>
      </w:pPr>
    </w:p>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工程名称：                                标段：               第  页 共  页</w:t>
      </w:r>
    </w:p>
    <w:tbl>
      <w:tblPr>
        <w:tblStyle w:val="39"/>
        <w:tblW w:w="92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
        <w:gridCol w:w="2835"/>
        <w:gridCol w:w="2947"/>
        <w:gridCol w:w="1120"/>
        <w:gridCol w:w="1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95"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序号</w:t>
            </w:r>
          </w:p>
        </w:tc>
        <w:tc>
          <w:tcPr>
            <w:tcW w:w="2835"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项 目 名 称</w:t>
            </w:r>
          </w:p>
        </w:tc>
        <w:tc>
          <w:tcPr>
            <w:tcW w:w="2947"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计 算 基 础</w:t>
            </w:r>
          </w:p>
        </w:tc>
        <w:tc>
          <w:tcPr>
            <w:tcW w:w="1120"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费率（%）</w:t>
            </w:r>
          </w:p>
        </w:tc>
        <w:tc>
          <w:tcPr>
            <w:tcW w:w="149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95"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1</w:t>
            </w:r>
          </w:p>
        </w:tc>
        <w:tc>
          <w:tcPr>
            <w:tcW w:w="2835" w:type="dxa"/>
            <w:shd w:val="clear" w:color="auto" w:fill="auto"/>
            <w:vAlign w:val="center"/>
          </w:tcPr>
          <w:p>
            <w:pPr>
              <w:adjustRightInd w:val="0"/>
              <w:snapToGrid w:val="0"/>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规费</w:t>
            </w:r>
          </w:p>
        </w:tc>
        <w:tc>
          <w:tcPr>
            <w:tcW w:w="2947"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c>
          <w:tcPr>
            <w:tcW w:w="1120"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c>
          <w:tcPr>
            <w:tcW w:w="1492"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95"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1.1</w:t>
            </w:r>
          </w:p>
        </w:tc>
        <w:tc>
          <w:tcPr>
            <w:tcW w:w="2835" w:type="dxa"/>
            <w:shd w:val="clear" w:color="auto" w:fill="auto"/>
            <w:vAlign w:val="center"/>
          </w:tcPr>
          <w:p>
            <w:pPr>
              <w:adjustRightInd w:val="0"/>
              <w:snapToGrid w:val="0"/>
              <w:rPr>
                <w:rFonts w:ascii="Times New Roman" w:hAnsi="Times New Roman" w:eastAsia="宋体" w:cs="Times New Roman"/>
                <w:iCs/>
                <w:kern w:val="0"/>
                <w:sz w:val="21"/>
                <w:szCs w:val="21"/>
                <w:highlight w:val="none"/>
              </w:rPr>
            </w:pPr>
            <w:r>
              <w:rPr>
                <w:rFonts w:hint="eastAsia" w:ascii="Times New Roman" w:hAnsi="Times New Roman" w:eastAsia="宋体" w:cs="Times New Roman"/>
                <w:iCs/>
                <w:kern w:val="0"/>
                <w:sz w:val="21"/>
                <w:szCs w:val="21"/>
                <w:highlight w:val="none"/>
              </w:rPr>
              <w:t xml:space="preserve">   社会保障费</w:t>
            </w:r>
          </w:p>
        </w:tc>
        <w:tc>
          <w:tcPr>
            <w:tcW w:w="2947"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c>
          <w:tcPr>
            <w:tcW w:w="1120"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c>
          <w:tcPr>
            <w:tcW w:w="1492"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95"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(1)</w:t>
            </w:r>
          </w:p>
        </w:tc>
        <w:tc>
          <w:tcPr>
            <w:tcW w:w="2835" w:type="dxa"/>
            <w:shd w:val="clear" w:color="auto" w:fill="auto"/>
            <w:vAlign w:val="center"/>
          </w:tcPr>
          <w:p>
            <w:pPr>
              <w:adjustRightInd w:val="0"/>
              <w:snapToGrid w:val="0"/>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 xml:space="preserve">       失业保险费</w:t>
            </w:r>
          </w:p>
        </w:tc>
        <w:tc>
          <w:tcPr>
            <w:tcW w:w="2947"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c>
          <w:tcPr>
            <w:tcW w:w="1120"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c>
          <w:tcPr>
            <w:tcW w:w="1492"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95"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(2)</w:t>
            </w:r>
          </w:p>
        </w:tc>
        <w:tc>
          <w:tcPr>
            <w:tcW w:w="2835" w:type="dxa"/>
            <w:shd w:val="clear" w:color="auto" w:fill="auto"/>
            <w:vAlign w:val="center"/>
          </w:tcPr>
          <w:p>
            <w:pPr>
              <w:adjustRightInd w:val="0"/>
              <w:snapToGrid w:val="0"/>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 xml:space="preserve">       养老保险费</w:t>
            </w:r>
          </w:p>
        </w:tc>
        <w:tc>
          <w:tcPr>
            <w:tcW w:w="2947"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c>
          <w:tcPr>
            <w:tcW w:w="1120"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c>
          <w:tcPr>
            <w:tcW w:w="1492"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95"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(3)</w:t>
            </w:r>
          </w:p>
        </w:tc>
        <w:tc>
          <w:tcPr>
            <w:tcW w:w="2835" w:type="dxa"/>
            <w:shd w:val="clear" w:color="auto" w:fill="auto"/>
            <w:vAlign w:val="center"/>
          </w:tcPr>
          <w:p>
            <w:pPr>
              <w:adjustRightInd w:val="0"/>
              <w:snapToGrid w:val="0"/>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 xml:space="preserve">       工伤保险费</w:t>
            </w:r>
          </w:p>
        </w:tc>
        <w:tc>
          <w:tcPr>
            <w:tcW w:w="2947"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c>
          <w:tcPr>
            <w:tcW w:w="1120"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c>
          <w:tcPr>
            <w:tcW w:w="1492"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95"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(4)</w:t>
            </w:r>
          </w:p>
        </w:tc>
        <w:tc>
          <w:tcPr>
            <w:tcW w:w="2835" w:type="dxa"/>
            <w:shd w:val="clear" w:color="auto" w:fill="auto"/>
            <w:vAlign w:val="center"/>
          </w:tcPr>
          <w:p>
            <w:pPr>
              <w:adjustRightInd w:val="0"/>
              <w:snapToGrid w:val="0"/>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 xml:space="preserve">       医疗保险费</w:t>
            </w:r>
          </w:p>
        </w:tc>
        <w:tc>
          <w:tcPr>
            <w:tcW w:w="2947"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c>
          <w:tcPr>
            <w:tcW w:w="1120"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c>
          <w:tcPr>
            <w:tcW w:w="1492"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95"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(5)</w:t>
            </w:r>
          </w:p>
        </w:tc>
        <w:tc>
          <w:tcPr>
            <w:tcW w:w="2835" w:type="dxa"/>
            <w:shd w:val="clear" w:color="auto" w:fill="auto"/>
            <w:vAlign w:val="center"/>
          </w:tcPr>
          <w:p>
            <w:pPr>
              <w:adjustRightInd w:val="0"/>
              <w:snapToGrid w:val="0"/>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 xml:space="preserve">       住房公积金</w:t>
            </w:r>
          </w:p>
        </w:tc>
        <w:tc>
          <w:tcPr>
            <w:tcW w:w="2947"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c>
          <w:tcPr>
            <w:tcW w:w="1120"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c>
          <w:tcPr>
            <w:tcW w:w="1492"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95"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1.2</w:t>
            </w:r>
          </w:p>
        </w:tc>
        <w:tc>
          <w:tcPr>
            <w:tcW w:w="2835" w:type="dxa"/>
            <w:shd w:val="clear" w:color="auto" w:fill="auto"/>
            <w:vAlign w:val="center"/>
          </w:tcPr>
          <w:p>
            <w:pPr>
              <w:adjustRightInd w:val="0"/>
              <w:snapToGrid w:val="0"/>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 xml:space="preserve">   工程排污费</w:t>
            </w:r>
          </w:p>
        </w:tc>
        <w:tc>
          <w:tcPr>
            <w:tcW w:w="2947"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c>
          <w:tcPr>
            <w:tcW w:w="1120"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c>
          <w:tcPr>
            <w:tcW w:w="1492"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95"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2</w:t>
            </w:r>
          </w:p>
        </w:tc>
        <w:tc>
          <w:tcPr>
            <w:tcW w:w="2835" w:type="dxa"/>
            <w:shd w:val="clear" w:color="auto" w:fill="auto"/>
            <w:vAlign w:val="center"/>
          </w:tcPr>
          <w:p>
            <w:pPr>
              <w:adjustRightInd w:val="0"/>
              <w:snapToGrid w:val="0"/>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 xml:space="preserve">税金 </w:t>
            </w:r>
          </w:p>
        </w:tc>
        <w:tc>
          <w:tcPr>
            <w:tcW w:w="2947" w:type="dxa"/>
            <w:shd w:val="clear" w:color="auto" w:fill="auto"/>
            <w:vAlign w:val="center"/>
          </w:tcPr>
          <w:p>
            <w:pPr>
              <w:adjustRightInd w:val="0"/>
              <w:snapToGrid w:val="0"/>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分部分项工程费+措施项目费+其他项目费+规费</w:t>
            </w:r>
          </w:p>
        </w:tc>
        <w:tc>
          <w:tcPr>
            <w:tcW w:w="1120"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c>
          <w:tcPr>
            <w:tcW w:w="1492"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797" w:type="dxa"/>
            <w:gridSpan w:val="4"/>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合        计</w:t>
            </w:r>
          </w:p>
        </w:tc>
        <w:tc>
          <w:tcPr>
            <w:tcW w:w="1492" w:type="dxa"/>
            <w:shd w:val="clear" w:color="auto" w:fill="auto"/>
            <w:vAlign w:val="center"/>
          </w:tcPr>
          <w:p>
            <w:pPr>
              <w:adjustRightInd w:val="0"/>
              <w:snapToGrid w:val="0"/>
              <w:rPr>
                <w:rFonts w:ascii="Times New Roman" w:hAnsi="Times New Roman" w:eastAsia="宋体" w:cs="Times New Roman"/>
                <w:kern w:val="0"/>
                <w:sz w:val="21"/>
                <w:szCs w:val="21"/>
                <w:highlight w:val="none"/>
              </w:rPr>
            </w:pPr>
          </w:p>
        </w:tc>
      </w:tr>
    </w:tbl>
    <w:p>
      <w:pPr>
        <w:spacing w:line="20" w:lineRule="exact"/>
        <w:rPr>
          <w:highlight w:val="none"/>
        </w:rPr>
      </w:pPr>
      <w:r>
        <w:rPr>
          <w:highlight w:val="none"/>
        </w:rPr>
        <w:br w:type="page"/>
      </w:r>
    </w:p>
    <w:p>
      <w:pPr>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暂列金额明细表</w:t>
      </w:r>
    </w:p>
    <w:p>
      <w:pPr>
        <w:rPr>
          <w:highlight w:val="none"/>
        </w:rPr>
      </w:pPr>
    </w:p>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工程名称：                                标段：               第  页 共  页</w:t>
      </w:r>
    </w:p>
    <w:tbl>
      <w:tblPr>
        <w:tblStyle w:val="39"/>
        <w:tblW w:w="92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
        <w:gridCol w:w="3731"/>
        <w:gridCol w:w="1232"/>
        <w:gridCol w:w="2106"/>
        <w:gridCol w:w="1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9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序号</w:t>
            </w:r>
          </w:p>
        </w:tc>
        <w:tc>
          <w:tcPr>
            <w:tcW w:w="373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项 目 名 称</w:t>
            </w:r>
          </w:p>
        </w:tc>
        <w:tc>
          <w:tcPr>
            <w:tcW w:w="123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计量单位</w:t>
            </w:r>
          </w:p>
        </w:tc>
        <w:tc>
          <w:tcPr>
            <w:tcW w:w="210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暂列金额（元）</w:t>
            </w:r>
          </w:p>
        </w:tc>
        <w:tc>
          <w:tcPr>
            <w:tcW w:w="1324"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9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373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23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210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324"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9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373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23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210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324"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9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373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23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210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324"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9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373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23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210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324"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9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373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23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210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324"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9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373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23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210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324"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9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373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23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210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324"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9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373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23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210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324"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9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373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23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210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324"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9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373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23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210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324"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9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373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23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210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324"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5859" w:type="dxa"/>
            <w:gridSpan w:val="3"/>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合        计</w:t>
            </w:r>
          </w:p>
        </w:tc>
        <w:tc>
          <w:tcPr>
            <w:tcW w:w="210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p>
        </w:tc>
        <w:tc>
          <w:tcPr>
            <w:tcW w:w="1324"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9289" w:type="dxa"/>
            <w:gridSpan w:val="5"/>
            <w:shd w:val="clear" w:color="auto" w:fill="auto"/>
            <w:vAlign w:val="center"/>
          </w:tcPr>
          <w:p>
            <w:pPr>
              <w:adjustRightInd w:val="0"/>
              <w:snapToGrid w:val="0"/>
              <w:jc w:val="left"/>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 xml:space="preserve">   注：本表如不能详列，也可只列暂列金额总额。</w:t>
            </w:r>
          </w:p>
        </w:tc>
      </w:tr>
    </w:tbl>
    <w:p>
      <w:pPr>
        <w:spacing w:line="20" w:lineRule="exact"/>
        <w:rPr>
          <w:highlight w:val="none"/>
        </w:rPr>
      </w:pPr>
      <w:r>
        <w:rPr>
          <w:highlight w:val="none"/>
        </w:rPr>
        <w:br w:type="page"/>
      </w:r>
    </w:p>
    <w:p>
      <w:pPr>
        <w:jc w:val="center"/>
        <w:rPr>
          <w:rFonts w:hint="eastAsia" w:ascii="宋体" w:hAnsi="宋体" w:eastAsia="宋体" w:cs="宋体"/>
          <w:sz w:val="32"/>
          <w:szCs w:val="32"/>
          <w:highlight w:val="none"/>
        </w:rPr>
      </w:pPr>
      <w:r>
        <w:rPr>
          <w:rFonts w:hint="eastAsia" w:ascii="宋体" w:hAnsi="宋体" w:eastAsia="宋体" w:cs="宋体"/>
          <w:b/>
          <w:bCs/>
          <w:sz w:val="32"/>
          <w:szCs w:val="32"/>
          <w:highlight w:val="none"/>
        </w:rPr>
        <w:t>工程建设其他费表</w:t>
      </w:r>
    </w:p>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工程名称：                                标段：               第  页 共  页</w:t>
      </w:r>
    </w:p>
    <w:tbl>
      <w:tblPr>
        <w:tblStyle w:val="39"/>
        <w:tblW w:w="92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1746"/>
        <w:gridCol w:w="2657"/>
        <w:gridCol w:w="907"/>
        <w:gridCol w:w="1182"/>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6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序号</w:t>
            </w:r>
          </w:p>
        </w:tc>
        <w:tc>
          <w:tcPr>
            <w:tcW w:w="1746"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项目名称</w:t>
            </w:r>
          </w:p>
        </w:tc>
        <w:tc>
          <w:tcPr>
            <w:tcW w:w="2657"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工作内容</w:t>
            </w:r>
          </w:p>
        </w:tc>
        <w:tc>
          <w:tcPr>
            <w:tcW w:w="907"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计量</w:t>
            </w:r>
          </w:p>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单位</w:t>
            </w:r>
          </w:p>
        </w:tc>
        <w:tc>
          <w:tcPr>
            <w:tcW w:w="1182"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工程量</w:t>
            </w:r>
          </w:p>
        </w:tc>
        <w:tc>
          <w:tcPr>
            <w:tcW w:w="2131" w:type="dxa"/>
            <w:shd w:val="clear" w:color="auto" w:fill="auto"/>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6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74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65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90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182"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13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6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74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65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90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182"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13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6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74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65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90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182"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13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6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74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65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90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182"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13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6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74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65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90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182"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13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6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74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65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90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182"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13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6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74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65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90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182"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13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6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74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65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90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182"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13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6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74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65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90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182"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13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6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74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65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90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182"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13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6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74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65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90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182"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13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6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74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65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90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182"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13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6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74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65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90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182"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13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6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74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65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90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182"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13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6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74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65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90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182"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13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6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74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65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90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182"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13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6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74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65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90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182"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13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6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746"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65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907"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1182"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c>
          <w:tcPr>
            <w:tcW w:w="2131" w:type="dxa"/>
            <w:shd w:val="clear" w:color="auto" w:fill="auto"/>
            <w:vAlign w:val="center"/>
          </w:tcPr>
          <w:p>
            <w:pPr>
              <w:adjustRightInd w:val="0"/>
              <w:snapToGrid w:val="0"/>
              <w:jc w:val="center"/>
              <w:rPr>
                <w:rFonts w:ascii="Times New Roman" w:hAnsi="Times New Roman" w:eastAsia="宋体" w:cs="Times New Roman"/>
                <w:kern w:val="0"/>
                <w:sz w:val="20"/>
                <w:szCs w:val="20"/>
                <w:highlight w:val="none"/>
              </w:rPr>
            </w:pPr>
          </w:p>
        </w:tc>
      </w:tr>
    </w:tbl>
    <w:p>
      <w:pPr>
        <w:spacing w:line="20" w:lineRule="exact"/>
        <w:rPr>
          <w:highlight w:val="none"/>
        </w:rPr>
      </w:pPr>
      <w:r>
        <w:rPr>
          <w:highlight w:val="none"/>
        </w:rPr>
        <w:br w:type="page"/>
      </w:r>
    </w:p>
    <w:p>
      <w:pPr>
        <w:jc w:val="center"/>
        <w:rPr>
          <w:rFonts w:hint="eastAsia" w:ascii="宋体" w:hAnsi="宋体" w:eastAsia="宋体" w:cs="宋体"/>
          <w:sz w:val="32"/>
          <w:szCs w:val="32"/>
          <w:highlight w:val="none"/>
        </w:rPr>
      </w:pPr>
      <w:r>
        <w:rPr>
          <w:rFonts w:hint="eastAsia" w:ascii="宋体" w:hAnsi="宋体" w:eastAsia="宋体" w:cs="宋体"/>
          <w:b/>
          <w:bCs/>
          <w:sz w:val="32"/>
          <w:szCs w:val="32"/>
          <w:highlight w:val="none"/>
        </w:rPr>
        <w:t>设备及工器具购置费表</w:t>
      </w:r>
    </w:p>
    <w:p>
      <w:pPr>
        <w:rPr>
          <w:highlight w:val="none"/>
        </w:rPr>
      </w:pPr>
    </w:p>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工程名称：                                标段：               第  页 共  页</w:t>
      </w:r>
    </w:p>
    <w:tbl>
      <w:tblPr>
        <w:tblStyle w:val="39"/>
        <w:tblW w:w="92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7"/>
        <w:gridCol w:w="2493"/>
        <w:gridCol w:w="2228"/>
        <w:gridCol w:w="817"/>
        <w:gridCol w:w="968"/>
        <w:gridCol w:w="1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97" w:type="dxa"/>
            <w:vAlign w:val="center"/>
          </w:tcPr>
          <w:p>
            <w:pPr>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序号</w:t>
            </w:r>
          </w:p>
        </w:tc>
        <w:tc>
          <w:tcPr>
            <w:tcW w:w="2493" w:type="dxa"/>
            <w:vAlign w:val="center"/>
          </w:tcPr>
          <w:p>
            <w:pPr>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设备名称</w:t>
            </w:r>
          </w:p>
        </w:tc>
        <w:tc>
          <w:tcPr>
            <w:tcW w:w="2228" w:type="dxa"/>
            <w:vAlign w:val="center"/>
          </w:tcPr>
          <w:p>
            <w:pPr>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型号规格</w:t>
            </w:r>
          </w:p>
        </w:tc>
        <w:tc>
          <w:tcPr>
            <w:tcW w:w="817" w:type="dxa"/>
            <w:vAlign w:val="center"/>
          </w:tcPr>
          <w:p>
            <w:pPr>
              <w:adjustRightInd w:val="0"/>
              <w:snapToGrid w:val="0"/>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计量</w:t>
            </w:r>
          </w:p>
          <w:p>
            <w:pPr>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单位</w:t>
            </w:r>
          </w:p>
        </w:tc>
        <w:tc>
          <w:tcPr>
            <w:tcW w:w="968" w:type="dxa"/>
            <w:vAlign w:val="center"/>
          </w:tcPr>
          <w:p>
            <w:pPr>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数量</w:t>
            </w:r>
          </w:p>
        </w:tc>
        <w:tc>
          <w:tcPr>
            <w:tcW w:w="1986" w:type="dxa"/>
            <w:vAlign w:val="center"/>
          </w:tcPr>
          <w:p>
            <w:pPr>
              <w:jc w:val="center"/>
              <w:rPr>
                <w:rFonts w:ascii="Times New Roman" w:hAnsi="Times New Roman" w:eastAsia="宋体" w:cs="Times New Roman"/>
                <w:kern w:val="0"/>
                <w:sz w:val="21"/>
                <w:szCs w:val="21"/>
                <w:highlight w:val="none"/>
              </w:rPr>
            </w:pPr>
            <w:r>
              <w:rPr>
                <w:rFonts w:hint="eastAsia" w:ascii="Times New Roman" w:hAnsi="Times New Roman" w:eastAsia="宋体" w:cs="Times New Roman"/>
                <w:kern w:val="0"/>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97" w:type="dxa"/>
            <w:vAlign w:val="center"/>
          </w:tcPr>
          <w:p>
            <w:pPr>
              <w:jc w:val="center"/>
              <w:rPr>
                <w:rFonts w:ascii="Times New Roman" w:hAnsi="Times New Roman" w:eastAsia="宋体" w:cs="Times New Roman"/>
                <w:kern w:val="0"/>
                <w:sz w:val="21"/>
                <w:szCs w:val="21"/>
                <w:highlight w:val="none"/>
              </w:rPr>
            </w:pPr>
          </w:p>
        </w:tc>
        <w:tc>
          <w:tcPr>
            <w:tcW w:w="2493" w:type="dxa"/>
            <w:vAlign w:val="center"/>
          </w:tcPr>
          <w:p>
            <w:pPr>
              <w:jc w:val="center"/>
              <w:rPr>
                <w:rFonts w:ascii="Times New Roman" w:hAnsi="Times New Roman" w:eastAsia="宋体" w:cs="Times New Roman"/>
                <w:kern w:val="0"/>
                <w:sz w:val="21"/>
                <w:szCs w:val="21"/>
                <w:highlight w:val="none"/>
              </w:rPr>
            </w:pPr>
          </w:p>
        </w:tc>
        <w:tc>
          <w:tcPr>
            <w:tcW w:w="2228" w:type="dxa"/>
            <w:vAlign w:val="center"/>
          </w:tcPr>
          <w:p>
            <w:pPr>
              <w:jc w:val="center"/>
              <w:rPr>
                <w:rFonts w:ascii="Times New Roman" w:hAnsi="Times New Roman" w:eastAsia="宋体" w:cs="Times New Roman"/>
                <w:kern w:val="0"/>
                <w:sz w:val="21"/>
                <w:szCs w:val="21"/>
                <w:highlight w:val="none"/>
              </w:rPr>
            </w:pPr>
          </w:p>
        </w:tc>
        <w:tc>
          <w:tcPr>
            <w:tcW w:w="817" w:type="dxa"/>
            <w:vAlign w:val="center"/>
          </w:tcPr>
          <w:p>
            <w:pPr>
              <w:jc w:val="center"/>
              <w:rPr>
                <w:rFonts w:ascii="Times New Roman" w:hAnsi="Times New Roman" w:eastAsia="宋体" w:cs="Times New Roman"/>
                <w:kern w:val="0"/>
                <w:sz w:val="21"/>
                <w:szCs w:val="21"/>
                <w:highlight w:val="none"/>
              </w:rPr>
            </w:pPr>
          </w:p>
        </w:tc>
        <w:tc>
          <w:tcPr>
            <w:tcW w:w="968" w:type="dxa"/>
            <w:vAlign w:val="center"/>
          </w:tcPr>
          <w:p>
            <w:pPr>
              <w:jc w:val="center"/>
              <w:rPr>
                <w:rFonts w:ascii="Times New Roman" w:hAnsi="Times New Roman" w:eastAsia="宋体" w:cs="Times New Roman"/>
                <w:kern w:val="0"/>
                <w:sz w:val="21"/>
                <w:szCs w:val="21"/>
                <w:highlight w:val="none"/>
              </w:rPr>
            </w:pPr>
          </w:p>
        </w:tc>
        <w:tc>
          <w:tcPr>
            <w:tcW w:w="1986" w:type="dxa"/>
            <w:vAlign w:val="center"/>
          </w:tcPr>
          <w:p>
            <w:pPr>
              <w:jc w:val="center"/>
              <w:rPr>
                <w:rFonts w:ascii="Times New Roman" w:hAnsi="Times New Roman" w:eastAsia="宋体"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97" w:type="dxa"/>
            <w:vAlign w:val="center"/>
          </w:tcPr>
          <w:p>
            <w:pPr>
              <w:jc w:val="center"/>
              <w:rPr>
                <w:rFonts w:ascii="Times New Roman" w:hAnsi="Times New Roman" w:eastAsia="宋体" w:cs="Times New Roman"/>
                <w:kern w:val="0"/>
                <w:sz w:val="20"/>
                <w:szCs w:val="20"/>
                <w:highlight w:val="none"/>
              </w:rPr>
            </w:pPr>
          </w:p>
        </w:tc>
        <w:tc>
          <w:tcPr>
            <w:tcW w:w="2493" w:type="dxa"/>
            <w:vAlign w:val="center"/>
          </w:tcPr>
          <w:p>
            <w:pPr>
              <w:jc w:val="center"/>
              <w:rPr>
                <w:rFonts w:ascii="Times New Roman" w:hAnsi="Times New Roman" w:eastAsia="宋体" w:cs="Times New Roman"/>
                <w:kern w:val="0"/>
                <w:sz w:val="20"/>
                <w:szCs w:val="20"/>
                <w:highlight w:val="none"/>
              </w:rPr>
            </w:pPr>
          </w:p>
        </w:tc>
        <w:tc>
          <w:tcPr>
            <w:tcW w:w="2228" w:type="dxa"/>
            <w:vAlign w:val="center"/>
          </w:tcPr>
          <w:p>
            <w:pPr>
              <w:jc w:val="center"/>
              <w:rPr>
                <w:rFonts w:ascii="Times New Roman" w:hAnsi="Times New Roman" w:eastAsia="宋体" w:cs="Times New Roman"/>
                <w:kern w:val="0"/>
                <w:sz w:val="20"/>
                <w:szCs w:val="20"/>
                <w:highlight w:val="none"/>
              </w:rPr>
            </w:pPr>
          </w:p>
        </w:tc>
        <w:tc>
          <w:tcPr>
            <w:tcW w:w="817" w:type="dxa"/>
            <w:vAlign w:val="center"/>
          </w:tcPr>
          <w:p>
            <w:pPr>
              <w:jc w:val="center"/>
              <w:rPr>
                <w:rFonts w:ascii="Times New Roman" w:hAnsi="Times New Roman" w:eastAsia="宋体" w:cs="Times New Roman"/>
                <w:kern w:val="0"/>
                <w:sz w:val="20"/>
                <w:szCs w:val="20"/>
                <w:highlight w:val="none"/>
              </w:rPr>
            </w:pPr>
          </w:p>
        </w:tc>
        <w:tc>
          <w:tcPr>
            <w:tcW w:w="968" w:type="dxa"/>
            <w:vAlign w:val="center"/>
          </w:tcPr>
          <w:p>
            <w:pPr>
              <w:jc w:val="center"/>
              <w:rPr>
                <w:rFonts w:ascii="Times New Roman" w:hAnsi="Times New Roman" w:eastAsia="宋体" w:cs="Times New Roman"/>
                <w:kern w:val="0"/>
                <w:sz w:val="20"/>
                <w:szCs w:val="20"/>
                <w:highlight w:val="none"/>
              </w:rPr>
            </w:pPr>
          </w:p>
        </w:tc>
        <w:tc>
          <w:tcPr>
            <w:tcW w:w="1986" w:type="dxa"/>
            <w:vAlign w:val="center"/>
          </w:tcPr>
          <w:p>
            <w:pPr>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97" w:type="dxa"/>
            <w:vAlign w:val="center"/>
          </w:tcPr>
          <w:p>
            <w:pPr>
              <w:jc w:val="center"/>
              <w:rPr>
                <w:rFonts w:ascii="Times New Roman" w:hAnsi="Times New Roman" w:eastAsia="宋体" w:cs="Times New Roman"/>
                <w:kern w:val="0"/>
                <w:sz w:val="20"/>
                <w:szCs w:val="20"/>
                <w:highlight w:val="none"/>
              </w:rPr>
            </w:pPr>
          </w:p>
        </w:tc>
        <w:tc>
          <w:tcPr>
            <w:tcW w:w="2493" w:type="dxa"/>
            <w:vAlign w:val="center"/>
          </w:tcPr>
          <w:p>
            <w:pPr>
              <w:jc w:val="center"/>
              <w:rPr>
                <w:rFonts w:ascii="Times New Roman" w:hAnsi="Times New Roman" w:eastAsia="宋体" w:cs="Times New Roman"/>
                <w:kern w:val="0"/>
                <w:sz w:val="20"/>
                <w:szCs w:val="20"/>
                <w:highlight w:val="none"/>
              </w:rPr>
            </w:pPr>
          </w:p>
        </w:tc>
        <w:tc>
          <w:tcPr>
            <w:tcW w:w="2228" w:type="dxa"/>
            <w:vAlign w:val="center"/>
          </w:tcPr>
          <w:p>
            <w:pPr>
              <w:jc w:val="center"/>
              <w:rPr>
                <w:rFonts w:ascii="Times New Roman" w:hAnsi="Times New Roman" w:eastAsia="宋体" w:cs="Times New Roman"/>
                <w:kern w:val="0"/>
                <w:sz w:val="20"/>
                <w:szCs w:val="20"/>
                <w:highlight w:val="none"/>
              </w:rPr>
            </w:pPr>
          </w:p>
        </w:tc>
        <w:tc>
          <w:tcPr>
            <w:tcW w:w="817" w:type="dxa"/>
            <w:vAlign w:val="center"/>
          </w:tcPr>
          <w:p>
            <w:pPr>
              <w:jc w:val="center"/>
              <w:rPr>
                <w:rFonts w:ascii="Times New Roman" w:hAnsi="Times New Roman" w:eastAsia="宋体" w:cs="Times New Roman"/>
                <w:kern w:val="0"/>
                <w:sz w:val="20"/>
                <w:szCs w:val="20"/>
                <w:highlight w:val="none"/>
              </w:rPr>
            </w:pPr>
          </w:p>
        </w:tc>
        <w:tc>
          <w:tcPr>
            <w:tcW w:w="968" w:type="dxa"/>
            <w:vAlign w:val="center"/>
          </w:tcPr>
          <w:p>
            <w:pPr>
              <w:jc w:val="center"/>
              <w:rPr>
                <w:rFonts w:ascii="Times New Roman" w:hAnsi="Times New Roman" w:eastAsia="宋体" w:cs="Times New Roman"/>
                <w:kern w:val="0"/>
                <w:sz w:val="20"/>
                <w:szCs w:val="20"/>
                <w:highlight w:val="none"/>
              </w:rPr>
            </w:pPr>
          </w:p>
        </w:tc>
        <w:tc>
          <w:tcPr>
            <w:tcW w:w="1986" w:type="dxa"/>
            <w:vAlign w:val="center"/>
          </w:tcPr>
          <w:p>
            <w:pPr>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97" w:type="dxa"/>
            <w:vAlign w:val="center"/>
          </w:tcPr>
          <w:p>
            <w:pPr>
              <w:jc w:val="center"/>
              <w:rPr>
                <w:rFonts w:ascii="Times New Roman" w:hAnsi="Times New Roman" w:eastAsia="宋体" w:cs="Times New Roman"/>
                <w:kern w:val="0"/>
                <w:sz w:val="20"/>
                <w:szCs w:val="20"/>
                <w:highlight w:val="none"/>
              </w:rPr>
            </w:pPr>
          </w:p>
        </w:tc>
        <w:tc>
          <w:tcPr>
            <w:tcW w:w="2493" w:type="dxa"/>
            <w:vAlign w:val="center"/>
          </w:tcPr>
          <w:p>
            <w:pPr>
              <w:jc w:val="center"/>
              <w:rPr>
                <w:rFonts w:ascii="Times New Roman" w:hAnsi="Times New Roman" w:eastAsia="宋体" w:cs="Times New Roman"/>
                <w:kern w:val="0"/>
                <w:sz w:val="20"/>
                <w:szCs w:val="20"/>
                <w:highlight w:val="none"/>
              </w:rPr>
            </w:pPr>
          </w:p>
        </w:tc>
        <w:tc>
          <w:tcPr>
            <w:tcW w:w="2228" w:type="dxa"/>
            <w:vAlign w:val="center"/>
          </w:tcPr>
          <w:p>
            <w:pPr>
              <w:jc w:val="center"/>
              <w:rPr>
                <w:rFonts w:ascii="Times New Roman" w:hAnsi="Times New Roman" w:eastAsia="宋体" w:cs="Times New Roman"/>
                <w:kern w:val="0"/>
                <w:sz w:val="20"/>
                <w:szCs w:val="20"/>
                <w:highlight w:val="none"/>
              </w:rPr>
            </w:pPr>
          </w:p>
        </w:tc>
        <w:tc>
          <w:tcPr>
            <w:tcW w:w="817" w:type="dxa"/>
            <w:vAlign w:val="center"/>
          </w:tcPr>
          <w:p>
            <w:pPr>
              <w:jc w:val="center"/>
              <w:rPr>
                <w:rFonts w:ascii="Times New Roman" w:hAnsi="Times New Roman" w:eastAsia="宋体" w:cs="Times New Roman"/>
                <w:kern w:val="0"/>
                <w:sz w:val="20"/>
                <w:szCs w:val="20"/>
                <w:highlight w:val="none"/>
              </w:rPr>
            </w:pPr>
          </w:p>
        </w:tc>
        <w:tc>
          <w:tcPr>
            <w:tcW w:w="968" w:type="dxa"/>
            <w:vAlign w:val="center"/>
          </w:tcPr>
          <w:p>
            <w:pPr>
              <w:jc w:val="center"/>
              <w:rPr>
                <w:rFonts w:ascii="Times New Roman" w:hAnsi="Times New Roman" w:eastAsia="宋体" w:cs="Times New Roman"/>
                <w:kern w:val="0"/>
                <w:sz w:val="20"/>
                <w:szCs w:val="20"/>
                <w:highlight w:val="none"/>
              </w:rPr>
            </w:pPr>
          </w:p>
        </w:tc>
        <w:tc>
          <w:tcPr>
            <w:tcW w:w="1986" w:type="dxa"/>
            <w:vAlign w:val="center"/>
          </w:tcPr>
          <w:p>
            <w:pPr>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97" w:type="dxa"/>
            <w:vAlign w:val="center"/>
          </w:tcPr>
          <w:p>
            <w:pPr>
              <w:jc w:val="center"/>
              <w:rPr>
                <w:rFonts w:ascii="Times New Roman" w:hAnsi="Times New Roman" w:eastAsia="宋体" w:cs="Times New Roman"/>
                <w:kern w:val="0"/>
                <w:sz w:val="20"/>
                <w:szCs w:val="20"/>
                <w:highlight w:val="none"/>
              </w:rPr>
            </w:pPr>
          </w:p>
        </w:tc>
        <w:tc>
          <w:tcPr>
            <w:tcW w:w="2493" w:type="dxa"/>
            <w:vAlign w:val="center"/>
          </w:tcPr>
          <w:p>
            <w:pPr>
              <w:jc w:val="center"/>
              <w:rPr>
                <w:rFonts w:ascii="Times New Roman" w:hAnsi="Times New Roman" w:eastAsia="宋体" w:cs="Times New Roman"/>
                <w:kern w:val="0"/>
                <w:sz w:val="20"/>
                <w:szCs w:val="20"/>
                <w:highlight w:val="none"/>
              </w:rPr>
            </w:pPr>
          </w:p>
        </w:tc>
        <w:tc>
          <w:tcPr>
            <w:tcW w:w="2228" w:type="dxa"/>
            <w:vAlign w:val="center"/>
          </w:tcPr>
          <w:p>
            <w:pPr>
              <w:jc w:val="center"/>
              <w:rPr>
                <w:rFonts w:ascii="Times New Roman" w:hAnsi="Times New Roman" w:eastAsia="宋体" w:cs="Times New Roman"/>
                <w:kern w:val="0"/>
                <w:sz w:val="20"/>
                <w:szCs w:val="20"/>
                <w:highlight w:val="none"/>
              </w:rPr>
            </w:pPr>
          </w:p>
        </w:tc>
        <w:tc>
          <w:tcPr>
            <w:tcW w:w="817" w:type="dxa"/>
            <w:vAlign w:val="center"/>
          </w:tcPr>
          <w:p>
            <w:pPr>
              <w:jc w:val="center"/>
              <w:rPr>
                <w:rFonts w:ascii="Times New Roman" w:hAnsi="Times New Roman" w:eastAsia="宋体" w:cs="Times New Roman"/>
                <w:kern w:val="0"/>
                <w:sz w:val="20"/>
                <w:szCs w:val="20"/>
                <w:highlight w:val="none"/>
              </w:rPr>
            </w:pPr>
          </w:p>
        </w:tc>
        <w:tc>
          <w:tcPr>
            <w:tcW w:w="968" w:type="dxa"/>
            <w:vAlign w:val="center"/>
          </w:tcPr>
          <w:p>
            <w:pPr>
              <w:jc w:val="center"/>
              <w:rPr>
                <w:rFonts w:ascii="Times New Roman" w:hAnsi="Times New Roman" w:eastAsia="宋体" w:cs="Times New Roman"/>
                <w:kern w:val="0"/>
                <w:sz w:val="20"/>
                <w:szCs w:val="20"/>
                <w:highlight w:val="none"/>
              </w:rPr>
            </w:pPr>
          </w:p>
        </w:tc>
        <w:tc>
          <w:tcPr>
            <w:tcW w:w="1986" w:type="dxa"/>
            <w:vAlign w:val="center"/>
          </w:tcPr>
          <w:p>
            <w:pPr>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97" w:type="dxa"/>
            <w:vAlign w:val="center"/>
          </w:tcPr>
          <w:p>
            <w:pPr>
              <w:jc w:val="center"/>
              <w:rPr>
                <w:rFonts w:ascii="Times New Roman" w:hAnsi="Times New Roman" w:eastAsia="宋体" w:cs="Times New Roman"/>
                <w:kern w:val="0"/>
                <w:sz w:val="20"/>
                <w:szCs w:val="20"/>
                <w:highlight w:val="none"/>
              </w:rPr>
            </w:pPr>
          </w:p>
        </w:tc>
        <w:tc>
          <w:tcPr>
            <w:tcW w:w="2493" w:type="dxa"/>
            <w:vAlign w:val="center"/>
          </w:tcPr>
          <w:p>
            <w:pPr>
              <w:jc w:val="center"/>
              <w:rPr>
                <w:rFonts w:ascii="Times New Roman" w:hAnsi="Times New Roman" w:eastAsia="宋体" w:cs="Times New Roman"/>
                <w:kern w:val="0"/>
                <w:sz w:val="20"/>
                <w:szCs w:val="20"/>
                <w:highlight w:val="none"/>
              </w:rPr>
            </w:pPr>
          </w:p>
        </w:tc>
        <w:tc>
          <w:tcPr>
            <w:tcW w:w="2228" w:type="dxa"/>
            <w:vAlign w:val="center"/>
          </w:tcPr>
          <w:p>
            <w:pPr>
              <w:jc w:val="center"/>
              <w:rPr>
                <w:rFonts w:ascii="Times New Roman" w:hAnsi="Times New Roman" w:eastAsia="宋体" w:cs="Times New Roman"/>
                <w:kern w:val="0"/>
                <w:sz w:val="20"/>
                <w:szCs w:val="20"/>
                <w:highlight w:val="none"/>
              </w:rPr>
            </w:pPr>
          </w:p>
        </w:tc>
        <w:tc>
          <w:tcPr>
            <w:tcW w:w="817" w:type="dxa"/>
            <w:vAlign w:val="center"/>
          </w:tcPr>
          <w:p>
            <w:pPr>
              <w:jc w:val="center"/>
              <w:rPr>
                <w:rFonts w:ascii="Times New Roman" w:hAnsi="Times New Roman" w:eastAsia="宋体" w:cs="Times New Roman"/>
                <w:kern w:val="0"/>
                <w:sz w:val="20"/>
                <w:szCs w:val="20"/>
                <w:highlight w:val="none"/>
              </w:rPr>
            </w:pPr>
          </w:p>
        </w:tc>
        <w:tc>
          <w:tcPr>
            <w:tcW w:w="968" w:type="dxa"/>
            <w:vAlign w:val="center"/>
          </w:tcPr>
          <w:p>
            <w:pPr>
              <w:jc w:val="center"/>
              <w:rPr>
                <w:rFonts w:ascii="Times New Roman" w:hAnsi="Times New Roman" w:eastAsia="宋体" w:cs="Times New Roman"/>
                <w:kern w:val="0"/>
                <w:sz w:val="20"/>
                <w:szCs w:val="20"/>
                <w:highlight w:val="none"/>
              </w:rPr>
            </w:pPr>
          </w:p>
        </w:tc>
        <w:tc>
          <w:tcPr>
            <w:tcW w:w="1986" w:type="dxa"/>
            <w:vAlign w:val="center"/>
          </w:tcPr>
          <w:p>
            <w:pPr>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97" w:type="dxa"/>
            <w:vAlign w:val="center"/>
          </w:tcPr>
          <w:p>
            <w:pPr>
              <w:jc w:val="center"/>
              <w:rPr>
                <w:rFonts w:ascii="Times New Roman" w:hAnsi="Times New Roman" w:eastAsia="宋体" w:cs="Times New Roman"/>
                <w:kern w:val="0"/>
                <w:sz w:val="20"/>
                <w:szCs w:val="20"/>
                <w:highlight w:val="none"/>
              </w:rPr>
            </w:pPr>
          </w:p>
        </w:tc>
        <w:tc>
          <w:tcPr>
            <w:tcW w:w="2493" w:type="dxa"/>
            <w:vAlign w:val="center"/>
          </w:tcPr>
          <w:p>
            <w:pPr>
              <w:jc w:val="center"/>
              <w:rPr>
                <w:rFonts w:ascii="Times New Roman" w:hAnsi="Times New Roman" w:eastAsia="宋体" w:cs="Times New Roman"/>
                <w:kern w:val="0"/>
                <w:sz w:val="20"/>
                <w:szCs w:val="20"/>
                <w:highlight w:val="none"/>
              </w:rPr>
            </w:pPr>
          </w:p>
        </w:tc>
        <w:tc>
          <w:tcPr>
            <w:tcW w:w="2228" w:type="dxa"/>
            <w:vAlign w:val="center"/>
          </w:tcPr>
          <w:p>
            <w:pPr>
              <w:jc w:val="center"/>
              <w:rPr>
                <w:rFonts w:ascii="Times New Roman" w:hAnsi="Times New Roman" w:eastAsia="宋体" w:cs="Times New Roman"/>
                <w:kern w:val="0"/>
                <w:sz w:val="20"/>
                <w:szCs w:val="20"/>
                <w:highlight w:val="none"/>
              </w:rPr>
            </w:pPr>
          </w:p>
        </w:tc>
        <w:tc>
          <w:tcPr>
            <w:tcW w:w="817" w:type="dxa"/>
            <w:vAlign w:val="center"/>
          </w:tcPr>
          <w:p>
            <w:pPr>
              <w:jc w:val="center"/>
              <w:rPr>
                <w:rFonts w:ascii="Times New Roman" w:hAnsi="Times New Roman" w:eastAsia="宋体" w:cs="Times New Roman"/>
                <w:kern w:val="0"/>
                <w:sz w:val="20"/>
                <w:szCs w:val="20"/>
                <w:highlight w:val="none"/>
              </w:rPr>
            </w:pPr>
          </w:p>
        </w:tc>
        <w:tc>
          <w:tcPr>
            <w:tcW w:w="968" w:type="dxa"/>
            <w:vAlign w:val="center"/>
          </w:tcPr>
          <w:p>
            <w:pPr>
              <w:jc w:val="center"/>
              <w:rPr>
                <w:rFonts w:ascii="Times New Roman" w:hAnsi="Times New Roman" w:eastAsia="宋体" w:cs="Times New Roman"/>
                <w:kern w:val="0"/>
                <w:sz w:val="20"/>
                <w:szCs w:val="20"/>
                <w:highlight w:val="none"/>
              </w:rPr>
            </w:pPr>
          </w:p>
        </w:tc>
        <w:tc>
          <w:tcPr>
            <w:tcW w:w="1986" w:type="dxa"/>
            <w:vAlign w:val="center"/>
          </w:tcPr>
          <w:p>
            <w:pPr>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97" w:type="dxa"/>
            <w:vAlign w:val="center"/>
          </w:tcPr>
          <w:p>
            <w:pPr>
              <w:jc w:val="center"/>
              <w:rPr>
                <w:rFonts w:ascii="Times New Roman" w:hAnsi="Times New Roman" w:eastAsia="宋体" w:cs="Times New Roman"/>
                <w:kern w:val="0"/>
                <w:sz w:val="20"/>
                <w:szCs w:val="20"/>
                <w:highlight w:val="none"/>
              </w:rPr>
            </w:pPr>
          </w:p>
        </w:tc>
        <w:tc>
          <w:tcPr>
            <w:tcW w:w="2493" w:type="dxa"/>
            <w:vAlign w:val="center"/>
          </w:tcPr>
          <w:p>
            <w:pPr>
              <w:jc w:val="center"/>
              <w:rPr>
                <w:rFonts w:ascii="Times New Roman" w:hAnsi="Times New Roman" w:eastAsia="宋体" w:cs="Times New Roman"/>
                <w:kern w:val="0"/>
                <w:sz w:val="20"/>
                <w:szCs w:val="20"/>
                <w:highlight w:val="none"/>
              </w:rPr>
            </w:pPr>
          </w:p>
        </w:tc>
        <w:tc>
          <w:tcPr>
            <w:tcW w:w="2228" w:type="dxa"/>
            <w:vAlign w:val="center"/>
          </w:tcPr>
          <w:p>
            <w:pPr>
              <w:jc w:val="center"/>
              <w:rPr>
                <w:rFonts w:ascii="Times New Roman" w:hAnsi="Times New Roman" w:eastAsia="宋体" w:cs="Times New Roman"/>
                <w:kern w:val="0"/>
                <w:sz w:val="20"/>
                <w:szCs w:val="20"/>
                <w:highlight w:val="none"/>
              </w:rPr>
            </w:pPr>
          </w:p>
        </w:tc>
        <w:tc>
          <w:tcPr>
            <w:tcW w:w="817" w:type="dxa"/>
            <w:vAlign w:val="center"/>
          </w:tcPr>
          <w:p>
            <w:pPr>
              <w:jc w:val="center"/>
              <w:rPr>
                <w:rFonts w:ascii="Times New Roman" w:hAnsi="Times New Roman" w:eastAsia="宋体" w:cs="Times New Roman"/>
                <w:kern w:val="0"/>
                <w:sz w:val="20"/>
                <w:szCs w:val="20"/>
                <w:highlight w:val="none"/>
              </w:rPr>
            </w:pPr>
          </w:p>
        </w:tc>
        <w:tc>
          <w:tcPr>
            <w:tcW w:w="968" w:type="dxa"/>
            <w:vAlign w:val="center"/>
          </w:tcPr>
          <w:p>
            <w:pPr>
              <w:jc w:val="center"/>
              <w:rPr>
                <w:rFonts w:ascii="Times New Roman" w:hAnsi="Times New Roman" w:eastAsia="宋体" w:cs="Times New Roman"/>
                <w:kern w:val="0"/>
                <w:sz w:val="20"/>
                <w:szCs w:val="20"/>
                <w:highlight w:val="none"/>
              </w:rPr>
            </w:pPr>
          </w:p>
        </w:tc>
        <w:tc>
          <w:tcPr>
            <w:tcW w:w="1986" w:type="dxa"/>
            <w:vAlign w:val="center"/>
          </w:tcPr>
          <w:p>
            <w:pPr>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97" w:type="dxa"/>
            <w:vAlign w:val="center"/>
          </w:tcPr>
          <w:p>
            <w:pPr>
              <w:jc w:val="center"/>
              <w:rPr>
                <w:rFonts w:ascii="Times New Roman" w:hAnsi="Times New Roman" w:eastAsia="宋体" w:cs="Times New Roman"/>
                <w:kern w:val="0"/>
                <w:sz w:val="20"/>
                <w:szCs w:val="20"/>
                <w:highlight w:val="none"/>
              </w:rPr>
            </w:pPr>
          </w:p>
        </w:tc>
        <w:tc>
          <w:tcPr>
            <w:tcW w:w="2493" w:type="dxa"/>
            <w:vAlign w:val="center"/>
          </w:tcPr>
          <w:p>
            <w:pPr>
              <w:jc w:val="center"/>
              <w:rPr>
                <w:rFonts w:ascii="Times New Roman" w:hAnsi="Times New Roman" w:eastAsia="宋体" w:cs="Times New Roman"/>
                <w:kern w:val="0"/>
                <w:sz w:val="20"/>
                <w:szCs w:val="20"/>
                <w:highlight w:val="none"/>
              </w:rPr>
            </w:pPr>
          </w:p>
        </w:tc>
        <w:tc>
          <w:tcPr>
            <w:tcW w:w="2228" w:type="dxa"/>
            <w:vAlign w:val="center"/>
          </w:tcPr>
          <w:p>
            <w:pPr>
              <w:jc w:val="center"/>
              <w:rPr>
                <w:rFonts w:ascii="Times New Roman" w:hAnsi="Times New Roman" w:eastAsia="宋体" w:cs="Times New Roman"/>
                <w:kern w:val="0"/>
                <w:sz w:val="20"/>
                <w:szCs w:val="20"/>
                <w:highlight w:val="none"/>
              </w:rPr>
            </w:pPr>
          </w:p>
        </w:tc>
        <w:tc>
          <w:tcPr>
            <w:tcW w:w="817" w:type="dxa"/>
            <w:vAlign w:val="center"/>
          </w:tcPr>
          <w:p>
            <w:pPr>
              <w:jc w:val="center"/>
              <w:rPr>
                <w:rFonts w:ascii="Times New Roman" w:hAnsi="Times New Roman" w:eastAsia="宋体" w:cs="Times New Roman"/>
                <w:kern w:val="0"/>
                <w:sz w:val="20"/>
                <w:szCs w:val="20"/>
                <w:highlight w:val="none"/>
              </w:rPr>
            </w:pPr>
          </w:p>
        </w:tc>
        <w:tc>
          <w:tcPr>
            <w:tcW w:w="968" w:type="dxa"/>
            <w:vAlign w:val="center"/>
          </w:tcPr>
          <w:p>
            <w:pPr>
              <w:jc w:val="center"/>
              <w:rPr>
                <w:rFonts w:ascii="Times New Roman" w:hAnsi="Times New Roman" w:eastAsia="宋体" w:cs="Times New Roman"/>
                <w:kern w:val="0"/>
                <w:sz w:val="20"/>
                <w:szCs w:val="20"/>
                <w:highlight w:val="none"/>
              </w:rPr>
            </w:pPr>
          </w:p>
        </w:tc>
        <w:tc>
          <w:tcPr>
            <w:tcW w:w="1986" w:type="dxa"/>
            <w:vAlign w:val="center"/>
          </w:tcPr>
          <w:p>
            <w:pPr>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97" w:type="dxa"/>
            <w:vAlign w:val="center"/>
          </w:tcPr>
          <w:p>
            <w:pPr>
              <w:jc w:val="center"/>
              <w:rPr>
                <w:rFonts w:ascii="Times New Roman" w:hAnsi="Times New Roman" w:eastAsia="宋体" w:cs="Times New Roman"/>
                <w:kern w:val="0"/>
                <w:sz w:val="20"/>
                <w:szCs w:val="20"/>
                <w:highlight w:val="none"/>
              </w:rPr>
            </w:pPr>
          </w:p>
        </w:tc>
        <w:tc>
          <w:tcPr>
            <w:tcW w:w="2493" w:type="dxa"/>
            <w:vAlign w:val="center"/>
          </w:tcPr>
          <w:p>
            <w:pPr>
              <w:jc w:val="center"/>
              <w:rPr>
                <w:rFonts w:ascii="Times New Roman" w:hAnsi="Times New Roman" w:eastAsia="宋体" w:cs="Times New Roman"/>
                <w:kern w:val="0"/>
                <w:sz w:val="20"/>
                <w:szCs w:val="20"/>
                <w:highlight w:val="none"/>
              </w:rPr>
            </w:pPr>
          </w:p>
        </w:tc>
        <w:tc>
          <w:tcPr>
            <w:tcW w:w="2228" w:type="dxa"/>
            <w:vAlign w:val="center"/>
          </w:tcPr>
          <w:p>
            <w:pPr>
              <w:jc w:val="center"/>
              <w:rPr>
                <w:rFonts w:ascii="Times New Roman" w:hAnsi="Times New Roman" w:eastAsia="宋体" w:cs="Times New Roman"/>
                <w:kern w:val="0"/>
                <w:sz w:val="20"/>
                <w:szCs w:val="20"/>
                <w:highlight w:val="none"/>
              </w:rPr>
            </w:pPr>
          </w:p>
        </w:tc>
        <w:tc>
          <w:tcPr>
            <w:tcW w:w="817" w:type="dxa"/>
            <w:vAlign w:val="center"/>
          </w:tcPr>
          <w:p>
            <w:pPr>
              <w:jc w:val="center"/>
              <w:rPr>
                <w:rFonts w:ascii="Times New Roman" w:hAnsi="Times New Roman" w:eastAsia="宋体" w:cs="Times New Roman"/>
                <w:kern w:val="0"/>
                <w:sz w:val="20"/>
                <w:szCs w:val="20"/>
                <w:highlight w:val="none"/>
              </w:rPr>
            </w:pPr>
          </w:p>
        </w:tc>
        <w:tc>
          <w:tcPr>
            <w:tcW w:w="968" w:type="dxa"/>
            <w:vAlign w:val="center"/>
          </w:tcPr>
          <w:p>
            <w:pPr>
              <w:jc w:val="center"/>
              <w:rPr>
                <w:rFonts w:ascii="Times New Roman" w:hAnsi="Times New Roman" w:eastAsia="宋体" w:cs="Times New Roman"/>
                <w:kern w:val="0"/>
                <w:sz w:val="20"/>
                <w:szCs w:val="20"/>
                <w:highlight w:val="none"/>
              </w:rPr>
            </w:pPr>
          </w:p>
        </w:tc>
        <w:tc>
          <w:tcPr>
            <w:tcW w:w="1986" w:type="dxa"/>
            <w:vAlign w:val="center"/>
          </w:tcPr>
          <w:p>
            <w:pPr>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97" w:type="dxa"/>
            <w:vAlign w:val="center"/>
          </w:tcPr>
          <w:p>
            <w:pPr>
              <w:jc w:val="center"/>
              <w:rPr>
                <w:rFonts w:ascii="Times New Roman" w:hAnsi="Times New Roman" w:eastAsia="宋体" w:cs="Times New Roman"/>
                <w:kern w:val="0"/>
                <w:sz w:val="20"/>
                <w:szCs w:val="20"/>
                <w:highlight w:val="none"/>
              </w:rPr>
            </w:pPr>
          </w:p>
        </w:tc>
        <w:tc>
          <w:tcPr>
            <w:tcW w:w="2493" w:type="dxa"/>
            <w:vAlign w:val="center"/>
          </w:tcPr>
          <w:p>
            <w:pPr>
              <w:jc w:val="center"/>
              <w:rPr>
                <w:rFonts w:ascii="Times New Roman" w:hAnsi="Times New Roman" w:eastAsia="宋体" w:cs="Times New Roman"/>
                <w:kern w:val="0"/>
                <w:sz w:val="20"/>
                <w:szCs w:val="20"/>
                <w:highlight w:val="none"/>
              </w:rPr>
            </w:pPr>
          </w:p>
        </w:tc>
        <w:tc>
          <w:tcPr>
            <w:tcW w:w="2228" w:type="dxa"/>
            <w:vAlign w:val="center"/>
          </w:tcPr>
          <w:p>
            <w:pPr>
              <w:jc w:val="center"/>
              <w:rPr>
                <w:rFonts w:ascii="Times New Roman" w:hAnsi="Times New Roman" w:eastAsia="宋体" w:cs="Times New Roman"/>
                <w:kern w:val="0"/>
                <w:sz w:val="20"/>
                <w:szCs w:val="20"/>
                <w:highlight w:val="none"/>
              </w:rPr>
            </w:pPr>
          </w:p>
        </w:tc>
        <w:tc>
          <w:tcPr>
            <w:tcW w:w="817" w:type="dxa"/>
            <w:vAlign w:val="center"/>
          </w:tcPr>
          <w:p>
            <w:pPr>
              <w:jc w:val="center"/>
              <w:rPr>
                <w:rFonts w:ascii="Times New Roman" w:hAnsi="Times New Roman" w:eastAsia="宋体" w:cs="Times New Roman"/>
                <w:kern w:val="0"/>
                <w:sz w:val="20"/>
                <w:szCs w:val="20"/>
                <w:highlight w:val="none"/>
              </w:rPr>
            </w:pPr>
          </w:p>
        </w:tc>
        <w:tc>
          <w:tcPr>
            <w:tcW w:w="968" w:type="dxa"/>
            <w:vAlign w:val="center"/>
          </w:tcPr>
          <w:p>
            <w:pPr>
              <w:jc w:val="center"/>
              <w:rPr>
                <w:rFonts w:ascii="Times New Roman" w:hAnsi="Times New Roman" w:eastAsia="宋体" w:cs="Times New Roman"/>
                <w:kern w:val="0"/>
                <w:sz w:val="20"/>
                <w:szCs w:val="20"/>
                <w:highlight w:val="none"/>
              </w:rPr>
            </w:pPr>
          </w:p>
        </w:tc>
        <w:tc>
          <w:tcPr>
            <w:tcW w:w="1986" w:type="dxa"/>
            <w:vAlign w:val="center"/>
          </w:tcPr>
          <w:p>
            <w:pPr>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97" w:type="dxa"/>
            <w:vAlign w:val="center"/>
          </w:tcPr>
          <w:p>
            <w:pPr>
              <w:jc w:val="center"/>
              <w:rPr>
                <w:rFonts w:ascii="Times New Roman" w:hAnsi="Times New Roman" w:eastAsia="宋体" w:cs="Times New Roman"/>
                <w:kern w:val="0"/>
                <w:sz w:val="20"/>
                <w:szCs w:val="20"/>
                <w:highlight w:val="none"/>
              </w:rPr>
            </w:pPr>
          </w:p>
        </w:tc>
        <w:tc>
          <w:tcPr>
            <w:tcW w:w="2493" w:type="dxa"/>
            <w:vAlign w:val="center"/>
          </w:tcPr>
          <w:p>
            <w:pPr>
              <w:jc w:val="center"/>
              <w:rPr>
                <w:rFonts w:ascii="Times New Roman" w:hAnsi="Times New Roman" w:eastAsia="宋体" w:cs="Times New Roman"/>
                <w:kern w:val="0"/>
                <w:sz w:val="20"/>
                <w:szCs w:val="20"/>
                <w:highlight w:val="none"/>
              </w:rPr>
            </w:pPr>
          </w:p>
        </w:tc>
        <w:tc>
          <w:tcPr>
            <w:tcW w:w="2228" w:type="dxa"/>
            <w:vAlign w:val="center"/>
          </w:tcPr>
          <w:p>
            <w:pPr>
              <w:jc w:val="center"/>
              <w:rPr>
                <w:rFonts w:ascii="Times New Roman" w:hAnsi="Times New Roman" w:eastAsia="宋体" w:cs="Times New Roman"/>
                <w:kern w:val="0"/>
                <w:sz w:val="20"/>
                <w:szCs w:val="20"/>
                <w:highlight w:val="none"/>
              </w:rPr>
            </w:pPr>
          </w:p>
        </w:tc>
        <w:tc>
          <w:tcPr>
            <w:tcW w:w="817" w:type="dxa"/>
            <w:vAlign w:val="center"/>
          </w:tcPr>
          <w:p>
            <w:pPr>
              <w:jc w:val="center"/>
              <w:rPr>
                <w:rFonts w:ascii="Times New Roman" w:hAnsi="Times New Roman" w:eastAsia="宋体" w:cs="Times New Roman"/>
                <w:kern w:val="0"/>
                <w:sz w:val="20"/>
                <w:szCs w:val="20"/>
                <w:highlight w:val="none"/>
              </w:rPr>
            </w:pPr>
          </w:p>
        </w:tc>
        <w:tc>
          <w:tcPr>
            <w:tcW w:w="968" w:type="dxa"/>
            <w:vAlign w:val="center"/>
          </w:tcPr>
          <w:p>
            <w:pPr>
              <w:jc w:val="center"/>
              <w:rPr>
                <w:rFonts w:ascii="Times New Roman" w:hAnsi="Times New Roman" w:eastAsia="宋体" w:cs="Times New Roman"/>
                <w:kern w:val="0"/>
                <w:sz w:val="20"/>
                <w:szCs w:val="20"/>
                <w:highlight w:val="none"/>
              </w:rPr>
            </w:pPr>
          </w:p>
        </w:tc>
        <w:tc>
          <w:tcPr>
            <w:tcW w:w="1986" w:type="dxa"/>
            <w:vAlign w:val="center"/>
          </w:tcPr>
          <w:p>
            <w:pPr>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97" w:type="dxa"/>
            <w:vAlign w:val="center"/>
          </w:tcPr>
          <w:p>
            <w:pPr>
              <w:jc w:val="center"/>
              <w:rPr>
                <w:rFonts w:ascii="Times New Roman" w:hAnsi="Times New Roman" w:eastAsia="宋体" w:cs="Times New Roman"/>
                <w:kern w:val="0"/>
                <w:sz w:val="20"/>
                <w:szCs w:val="20"/>
                <w:highlight w:val="none"/>
              </w:rPr>
            </w:pPr>
          </w:p>
        </w:tc>
        <w:tc>
          <w:tcPr>
            <w:tcW w:w="2493" w:type="dxa"/>
            <w:vAlign w:val="center"/>
          </w:tcPr>
          <w:p>
            <w:pPr>
              <w:jc w:val="center"/>
              <w:rPr>
                <w:rFonts w:ascii="Times New Roman" w:hAnsi="Times New Roman" w:eastAsia="宋体" w:cs="Times New Roman"/>
                <w:kern w:val="0"/>
                <w:sz w:val="20"/>
                <w:szCs w:val="20"/>
                <w:highlight w:val="none"/>
              </w:rPr>
            </w:pPr>
          </w:p>
        </w:tc>
        <w:tc>
          <w:tcPr>
            <w:tcW w:w="2228" w:type="dxa"/>
            <w:vAlign w:val="center"/>
          </w:tcPr>
          <w:p>
            <w:pPr>
              <w:jc w:val="center"/>
              <w:rPr>
                <w:rFonts w:ascii="Times New Roman" w:hAnsi="Times New Roman" w:eastAsia="宋体" w:cs="Times New Roman"/>
                <w:kern w:val="0"/>
                <w:sz w:val="20"/>
                <w:szCs w:val="20"/>
                <w:highlight w:val="none"/>
              </w:rPr>
            </w:pPr>
          </w:p>
        </w:tc>
        <w:tc>
          <w:tcPr>
            <w:tcW w:w="817" w:type="dxa"/>
            <w:vAlign w:val="center"/>
          </w:tcPr>
          <w:p>
            <w:pPr>
              <w:jc w:val="center"/>
              <w:rPr>
                <w:rFonts w:ascii="Times New Roman" w:hAnsi="Times New Roman" w:eastAsia="宋体" w:cs="Times New Roman"/>
                <w:kern w:val="0"/>
                <w:sz w:val="20"/>
                <w:szCs w:val="20"/>
                <w:highlight w:val="none"/>
              </w:rPr>
            </w:pPr>
          </w:p>
        </w:tc>
        <w:tc>
          <w:tcPr>
            <w:tcW w:w="968" w:type="dxa"/>
            <w:vAlign w:val="center"/>
          </w:tcPr>
          <w:p>
            <w:pPr>
              <w:jc w:val="center"/>
              <w:rPr>
                <w:rFonts w:ascii="Times New Roman" w:hAnsi="Times New Roman" w:eastAsia="宋体" w:cs="Times New Roman"/>
                <w:kern w:val="0"/>
                <w:sz w:val="20"/>
                <w:szCs w:val="20"/>
                <w:highlight w:val="none"/>
              </w:rPr>
            </w:pPr>
          </w:p>
        </w:tc>
        <w:tc>
          <w:tcPr>
            <w:tcW w:w="1986" w:type="dxa"/>
            <w:vAlign w:val="center"/>
          </w:tcPr>
          <w:p>
            <w:pPr>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97" w:type="dxa"/>
            <w:vAlign w:val="center"/>
          </w:tcPr>
          <w:p>
            <w:pPr>
              <w:jc w:val="center"/>
              <w:rPr>
                <w:rFonts w:ascii="Times New Roman" w:hAnsi="Times New Roman" w:eastAsia="宋体" w:cs="Times New Roman"/>
                <w:kern w:val="0"/>
                <w:sz w:val="20"/>
                <w:szCs w:val="20"/>
                <w:highlight w:val="none"/>
              </w:rPr>
            </w:pPr>
          </w:p>
        </w:tc>
        <w:tc>
          <w:tcPr>
            <w:tcW w:w="2493" w:type="dxa"/>
            <w:vAlign w:val="center"/>
          </w:tcPr>
          <w:p>
            <w:pPr>
              <w:jc w:val="center"/>
              <w:rPr>
                <w:rFonts w:ascii="Times New Roman" w:hAnsi="Times New Roman" w:eastAsia="宋体" w:cs="Times New Roman"/>
                <w:kern w:val="0"/>
                <w:sz w:val="20"/>
                <w:szCs w:val="20"/>
                <w:highlight w:val="none"/>
              </w:rPr>
            </w:pPr>
          </w:p>
        </w:tc>
        <w:tc>
          <w:tcPr>
            <w:tcW w:w="2228" w:type="dxa"/>
            <w:vAlign w:val="center"/>
          </w:tcPr>
          <w:p>
            <w:pPr>
              <w:jc w:val="center"/>
              <w:rPr>
                <w:rFonts w:ascii="Times New Roman" w:hAnsi="Times New Roman" w:eastAsia="宋体" w:cs="Times New Roman"/>
                <w:kern w:val="0"/>
                <w:sz w:val="20"/>
                <w:szCs w:val="20"/>
                <w:highlight w:val="none"/>
              </w:rPr>
            </w:pPr>
          </w:p>
        </w:tc>
        <w:tc>
          <w:tcPr>
            <w:tcW w:w="817" w:type="dxa"/>
            <w:vAlign w:val="center"/>
          </w:tcPr>
          <w:p>
            <w:pPr>
              <w:jc w:val="center"/>
              <w:rPr>
                <w:rFonts w:ascii="Times New Roman" w:hAnsi="Times New Roman" w:eastAsia="宋体" w:cs="Times New Roman"/>
                <w:kern w:val="0"/>
                <w:sz w:val="20"/>
                <w:szCs w:val="20"/>
                <w:highlight w:val="none"/>
              </w:rPr>
            </w:pPr>
          </w:p>
        </w:tc>
        <w:tc>
          <w:tcPr>
            <w:tcW w:w="968" w:type="dxa"/>
            <w:vAlign w:val="center"/>
          </w:tcPr>
          <w:p>
            <w:pPr>
              <w:jc w:val="center"/>
              <w:rPr>
                <w:rFonts w:ascii="Times New Roman" w:hAnsi="Times New Roman" w:eastAsia="宋体" w:cs="Times New Roman"/>
                <w:kern w:val="0"/>
                <w:sz w:val="20"/>
                <w:szCs w:val="20"/>
                <w:highlight w:val="none"/>
              </w:rPr>
            </w:pPr>
          </w:p>
        </w:tc>
        <w:tc>
          <w:tcPr>
            <w:tcW w:w="1986" w:type="dxa"/>
            <w:vAlign w:val="center"/>
          </w:tcPr>
          <w:p>
            <w:pPr>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97" w:type="dxa"/>
            <w:vAlign w:val="center"/>
          </w:tcPr>
          <w:p>
            <w:pPr>
              <w:jc w:val="center"/>
              <w:rPr>
                <w:rFonts w:ascii="Times New Roman" w:hAnsi="Times New Roman" w:eastAsia="宋体" w:cs="Times New Roman"/>
                <w:kern w:val="0"/>
                <w:sz w:val="20"/>
                <w:szCs w:val="20"/>
                <w:highlight w:val="none"/>
              </w:rPr>
            </w:pPr>
          </w:p>
        </w:tc>
        <w:tc>
          <w:tcPr>
            <w:tcW w:w="2493" w:type="dxa"/>
            <w:vAlign w:val="center"/>
          </w:tcPr>
          <w:p>
            <w:pPr>
              <w:jc w:val="center"/>
              <w:rPr>
                <w:rFonts w:ascii="Times New Roman" w:hAnsi="Times New Roman" w:eastAsia="宋体" w:cs="Times New Roman"/>
                <w:kern w:val="0"/>
                <w:sz w:val="20"/>
                <w:szCs w:val="20"/>
                <w:highlight w:val="none"/>
              </w:rPr>
            </w:pPr>
          </w:p>
        </w:tc>
        <w:tc>
          <w:tcPr>
            <w:tcW w:w="2228" w:type="dxa"/>
            <w:vAlign w:val="center"/>
          </w:tcPr>
          <w:p>
            <w:pPr>
              <w:jc w:val="center"/>
              <w:rPr>
                <w:rFonts w:ascii="Times New Roman" w:hAnsi="Times New Roman" w:eastAsia="宋体" w:cs="Times New Roman"/>
                <w:kern w:val="0"/>
                <w:sz w:val="20"/>
                <w:szCs w:val="20"/>
                <w:highlight w:val="none"/>
              </w:rPr>
            </w:pPr>
          </w:p>
        </w:tc>
        <w:tc>
          <w:tcPr>
            <w:tcW w:w="817" w:type="dxa"/>
            <w:vAlign w:val="center"/>
          </w:tcPr>
          <w:p>
            <w:pPr>
              <w:jc w:val="center"/>
              <w:rPr>
                <w:rFonts w:ascii="Times New Roman" w:hAnsi="Times New Roman" w:eastAsia="宋体" w:cs="Times New Roman"/>
                <w:kern w:val="0"/>
                <w:sz w:val="20"/>
                <w:szCs w:val="20"/>
                <w:highlight w:val="none"/>
              </w:rPr>
            </w:pPr>
          </w:p>
        </w:tc>
        <w:tc>
          <w:tcPr>
            <w:tcW w:w="968" w:type="dxa"/>
            <w:vAlign w:val="center"/>
          </w:tcPr>
          <w:p>
            <w:pPr>
              <w:jc w:val="center"/>
              <w:rPr>
                <w:rFonts w:ascii="Times New Roman" w:hAnsi="Times New Roman" w:eastAsia="宋体" w:cs="Times New Roman"/>
                <w:kern w:val="0"/>
                <w:sz w:val="20"/>
                <w:szCs w:val="20"/>
                <w:highlight w:val="none"/>
              </w:rPr>
            </w:pPr>
          </w:p>
        </w:tc>
        <w:tc>
          <w:tcPr>
            <w:tcW w:w="1986" w:type="dxa"/>
            <w:vAlign w:val="center"/>
          </w:tcPr>
          <w:p>
            <w:pPr>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97" w:type="dxa"/>
            <w:vAlign w:val="center"/>
          </w:tcPr>
          <w:p>
            <w:pPr>
              <w:jc w:val="center"/>
              <w:rPr>
                <w:rFonts w:ascii="Times New Roman" w:hAnsi="Times New Roman" w:eastAsia="宋体" w:cs="Times New Roman"/>
                <w:kern w:val="0"/>
                <w:sz w:val="20"/>
                <w:szCs w:val="20"/>
                <w:highlight w:val="none"/>
              </w:rPr>
            </w:pPr>
          </w:p>
        </w:tc>
        <w:tc>
          <w:tcPr>
            <w:tcW w:w="2493" w:type="dxa"/>
            <w:vAlign w:val="center"/>
          </w:tcPr>
          <w:p>
            <w:pPr>
              <w:jc w:val="center"/>
              <w:rPr>
                <w:rFonts w:ascii="Times New Roman" w:hAnsi="Times New Roman" w:eastAsia="宋体" w:cs="Times New Roman"/>
                <w:kern w:val="0"/>
                <w:sz w:val="20"/>
                <w:szCs w:val="20"/>
                <w:highlight w:val="none"/>
              </w:rPr>
            </w:pPr>
          </w:p>
        </w:tc>
        <w:tc>
          <w:tcPr>
            <w:tcW w:w="2228" w:type="dxa"/>
            <w:vAlign w:val="center"/>
          </w:tcPr>
          <w:p>
            <w:pPr>
              <w:jc w:val="center"/>
              <w:rPr>
                <w:rFonts w:ascii="Times New Roman" w:hAnsi="Times New Roman" w:eastAsia="宋体" w:cs="Times New Roman"/>
                <w:kern w:val="0"/>
                <w:sz w:val="20"/>
                <w:szCs w:val="20"/>
                <w:highlight w:val="none"/>
              </w:rPr>
            </w:pPr>
          </w:p>
        </w:tc>
        <w:tc>
          <w:tcPr>
            <w:tcW w:w="817" w:type="dxa"/>
            <w:vAlign w:val="center"/>
          </w:tcPr>
          <w:p>
            <w:pPr>
              <w:jc w:val="center"/>
              <w:rPr>
                <w:rFonts w:ascii="Times New Roman" w:hAnsi="Times New Roman" w:eastAsia="宋体" w:cs="Times New Roman"/>
                <w:kern w:val="0"/>
                <w:sz w:val="20"/>
                <w:szCs w:val="20"/>
                <w:highlight w:val="none"/>
              </w:rPr>
            </w:pPr>
          </w:p>
        </w:tc>
        <w:tc>
          <w:tcPr>
            <w:tcW w:w="968" w:type="dxa"/>
            <w:vAlign w:val="center"/>
          </w:tcPr>
          <w:p>
            <w:pPr>
              <w:jc w:val="center"/>
              <w:rPr>
                <w:rFonts w:ascii="Times New Roman" w:hAnsi="Times New Roman" w:eastAsia="宋体" w:cs="Times New Roman"/>
                <w:kern w:val="0"/>
                <w:sz w:val="20"/>
                <w:szCs w:val="20"/>
                <w:highlight w:val="none"/>
              </w:rPr>
            </w:pPr>
          </w:p>
        </w:tc>
        <w:tc>
          <w:tcPr>
            <w:tcW w:w="1986" w:type="dxa"/>
            <w:vAlign w:val="center"/>
          </w:tcPr>
          <w:p>
            <w:pPr>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97" w:type="dxa"/>
            <w:vAlign w:val="center"/>
          </w:tcPr>
          <w:p>
            <w:pPr>
              <w:jc w:val="center"/>
              <w:rPr>
                <w:rFonts w:ascii="Times New Roman" w:hAnsi="Times New Roman" w:eastAsia="宋体" w:cs="Times New Roman"/>
                <w:kern w:val="0"/>
                <w:sz w:val="20"/>
                <w:szCs w:val="20"/>
                <w:highlight w:val="none"/>
              </w:rPr>
            </w:pPr>
          </w:p>
        </w:tc>
        <w:tc>
          <w:tcPr>
            <w:tcW w:w="2493" w:type="dxa"/>
            <w:vAlign w:val="center"/>
          </w:tcPr>
          <w:p>
            <w:pPr>
              <w:jc w:val="center"/>
              <w:rPr>
                <w:rFonts w:ascii="Times New Roman" w:hAnsi="Times New Roman" w:eastAsia="宋体" w:cs="Times New Roman"/>
                <w:kern w:val="0"/>
                <w:sz w:val="20"/>
                <w:szCs w:val="20"/>
                <w:highlight w:val="none"/>
              </w:rPr>
            </w:pPr>
          </w:p>
        </w:tc>
        <w:tc>
          <w:tcPr>
            <w:tcW w:w="2228" w:type="dxa"/>
            <w:vAlign w:val="center"/>
          </w:tcPr>
          <w:p>
            <w:pPr>
              <w:jc w:val="center"/>
              <w:rPr>
                <w:rFonts w:ascii="Times New Roman" w:hAnsi="Times New Roman" w:eastAsia="宋体" w:cs="Times New Roman"/>
                <w:kern w:val="0"/>
                <w:sz w:val="20"/>
                <w:szCs w:val="20"/>
                <w:highlight w:val="none"/>
              </w:rPr>
            </w:pPr>
          </w:p>
        </w:tc>
        <w:tc>
          <w:tcPr>
            <w:tcW w:w="817" w:type="dxa"/>
            <w:vAlign w:val="center"/>
          </w:tcPr>
          <w:p>
            <w:pPr>
              <w:jc w:val="center"/>
              <w:rPr>
                <w:rFonts w:ascii="Times New Roman" w:hAnsi="Times New Roman" w:eastAsia="宋体" w:cs="Times New Roman"/>
                <w:kern w:val="0"/>
                <w:sz w:val="20"/>
                <w:szCs w:val="20"/>
                <w:highlight w:val="none"/>
              </w:rPr>
            </w:pPr>
          </w:p>
        </w:tc>
        <w:tc>
          <w:tcPr>
            <w:tcW w:w="968" w:type="dxa"/>
            <w:vAlign w:val="center"/>
          </w:tcPr>
          <w:p>
            <w:pPr>
              <w:jc w:val="center"/>
              <w:rPr>
                <w:rFonts w:ascii="Times New Roman" w:hAnsi="Times New Roman" w:eastAsia="宋体" w:cs="Times New Roman"/>
                <w:kern w:val="0"/>
                <w:sz w:val="20"/>
                <w:szCs w:val="20"/>
                <w:highlight w:val="none"/>
              </w:rPr>
            </w:pPr>
          </w:p>
        </w:tc>
        <w:tc>
          <w:tcPr>
            <w:tcW w:w="1986" w:type="dxa"/>
            <w:vAlign w:val="center"/>
          </w:tcPr>
          <w:p>
            <w:pPr>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97" w:type="dxa"/>
            <w:vAlign w:val="center"/>
          </w:tcPr>
          <w:p>
            <w:pPr>
              <w:jc w:val="center"/>
              <w:rPr>
                <w:rFonts w:ascii="Times New Roman" w:hAnsi="Times New Roman" w:eastAsia="宋体" w:cs="Times New Roman"/>
                <w:kern w:val="0"/>
                <w:sz w:val="20"/>
                <w:szCs w:val="20"/>
                <w:highlight w:val="none"/>
              </w:rPr>
            </w:pPr>
          </w:p>
        </w:tc>
        <w:tc>
          <w:tcPr>
            <w:tcW w:w="2493" w:type="dxa"/>
            <w:vAlign w:val="center"/>
          </w:tcPr>
          <w:p>
            <w:pPr>
              <w:jc w:val="center"/>
              <w:rPr>
                <w:rFonts w:ascii="Times New Roman" w:hAnsi="Times New Roman" w:eastAsia="宋体" w:cs="Times New Roman"/>
                <w:kern w:val="0"/>
                <w:sz w:val="20"/>
                <w:szCs w:val="20"/>
                <w:highlight w:val="none"/>
              </w:rPr>
            </w:pPr>
          </w:p>
        </w:tc>
        <w:tc>
          <w:tcPr>
            <w:tcW w:w="2228" w:type="dxa"/>
            <w:vAlign w:val="center"/>
          </w:tcPr>
          <w:p>
            <w:pPr>
              <w:jc w:val="center"/>
              <w:rPr>
                <w:rFonts w:ascii="Times New Roman" w:hAnsi="Times New Roman" w:eastAsia="宋体" w:cs="Times New Roman"/>
                <w:kern w:val="0"/>
                <w:sz w:val="20"/>
                <w:szCs w:val="20"/>
                <w:highlight w:val="none"/>
              </w:rPr>
            </w:pPr>
          </w:p>
        </w:tc>
        <w:tc>
          <w:tcPr>
            <w:tcW w:w="817" w:type="dxa"/>
            <w:vAlign w:val="center"/>
          </w:tcPr>
          <w:p>
            <w:pPr>
              <w:jc w:val="center"/>
              <w:rPr>
                <w:rFonts w:ascii="Times New Roman" w:hAnsi="Times New Roman" w:eastAsia="宋体" w:cs="Times New Roman"/>
                <w:kern w:val="0"/>
                <w:sz w:val="20"/>
                <w:szCs w:val="20"/>
                <w:highlight w:val="none"/>
              </w:rPr>
            </w:pPr>
          </w:p>
        </w:tc>
        <w:tc>
          <w:tcPr>
            <w:tcW w:w="968" w:type="dxa"/>
            <w:vAlign w:val="center"/>
          </w:tcPr>
          <w:p>
            <w:pPr>
              <w:jc w:val="center"/>
              <w:rPr>
                <w:rFonts w:ascii="Times New Roman" w:hAnsi="Times New Roman" w:eastAsia="宋体" w:cs="Times New Roman"/>
                <w:kern w:val="0"/>
                <w:sz w:val="20"/>
                <w:szCs w:val="20"/>
                <w:highlight w:val="none"/>
              </w:rPr>
            </w:pPr>
          </w:p>
        </w:tc>
        <w:tc>
          <w:tcPr>
            <w:tcW w:w="1986" w:type="dxa"/>
            <w:vAlign w:val="center"/>
          </w:tcPr>
          <w:p>
            <w:pPr>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97" w:type="dxa"/>
            <w:vAlign w:val="center"/>
          </w:tcPr>
          <w:p>
            <w:pPr>
              <w:jc w:val="center"/>
              <w:rPr>
                <w:rFonts w:ascii="Times New Roman" w:hAnsi="Times New Roman" w:eastAsia="宋体" w:cs="Times New Roman"/>
                <w:kern w:val="0"/>
                <w:sz w:val="20"/>
                <w:szCs w:val="20"/>
                <w:highlight w:val="none"/>
              </w:rPr>
            </w:pPr>
          </w:p>
        </w:tc>
        <w:tc>
          <w:tcPr>
            <w:tcW w:w="2493" w:type="dxa"/>
            <w:vAlign w:val="center"/>
          </w:tcPr>
          <w:p>
            <w:pPr>
              <w:jc w:val="center"/>
              <w:rPr>
                <w:rFonts w:ascii="Times New Roman" w:hAnsi="Times New Roman" w:eastAsia="宋体" w:cs="Times New Roman"/>
                <w:kern w:val="0"/>
                <w:sz w:val="20"/>
                <w:szCs w:val="20"/>
                <w:highlight w:val="none"/>
              </w:rPr>
            </w:pPr>
          </w:p>
        </w:tc>
        <w:tc>
          <w:tcPr>
            <w:tcW w:w="2228" w:type="dxa"/>
            <w:vAlign w:val="center"/>
          </w:tcPr>
          <w:p>
            <w:pPr>
              <w:jc w:val="center"/>
              <w:rPr>
                <w:rFonts w:ascii="Times New Roman" w:hAnsi="Times New Roman" w:eastAsia="宋体" w:cs="Times New Roman"/>
                <w:kern w:val="0"/>
                <w:sz w:val="20"/>
                <w:szCs w:val="20"/>
                <w:highlight w:val="none"/>
              </w:rPr>
            </w:pPr>
          </w:p>
        </w:tc>
        <w:tc>
          <w:tcPr>
            <w:tcW w:w="817" w:type="dxa"/>
            <w:vAlign w:val="center"/>
          </w:tcPr>
          <w:p>
            <w:pPr>
              <w:jc w:val="center"/>
              <w:rPr>
                <w:rFonts w:ascii="Times New Roman" w:hAnsi="Times New Roman" w:eastAsia="宋体" w:cs="Times New Roman"/>
                <w:kern w:val="0"/>
                <w:sz w:val="20"/>
                <w:szCs w:val="20"/>
                <w:highlight w:val="none"/>
              </w:rPr>
            </w:pPr>
          </w:p>
        </w:tc>
        <w:tc>
          <w:tcPr>
            <w:tcW w:w="968" w:type="dxa"/>
            <w:vAlign w:val="center"/>
          </w:tcPr>
          <w:p>
            <w:pPr>
              <w:jc w:val="center"/>
              <w:rPr>
                <w:rFonts w:ascii="Times New Roman" w:hAnsi="Times New Roman" w:eastAsia="宋体" w:cs="Times New Roman"/>
                <w:kern w:val="0"/>
                <w:sz w:val="20"/>
                <w:szCs w:val="20"/>
                <w:highlight w:val="none"/>
              </w:rPr>
            </w:pPr>
          </w:p>
        </w:tc>
        <w:tc>
          <w:tcPr>
            <w:tcW w:w="1986" w:type="dxa"/>
            <w:vAlign w:val="center"/>
          </w:tcPr>
          <w:p>
            <w:pPr>
              <w:jc w:val="center"/>
              <w:rPr>
                <w:rFonts w:ascii="Times New Roman" w:hAnsi="Times New Roman" w:eastAsia="宋体" w:cs="Times New Roman"/>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97" w:type="dxa"/>
            <w:vAlign w:val="center"/>
          </w:tcPr>
          <w:p>
            <w:pPr>
              <w:jc w:val="center"/>
              <w:rPr>
                <w:rFonts w:ascii="Times New Roman" w:hAnsi="Times New Roman" w:eastAsia="宋体" w:cs="Times New Roman"/>
                <w:kern w:val="0"/>
                <w:sz w:val="20"/>
                <w:szCs w:val="20"/>
                <w:highlight w:val="none"/>
              </w:rPr>
            </w:pPr>
          </w:p>
        </w:tc>
        <w:tc>
          <w:tcPr>
            <w:tcW w:w="2493" w:type="dxa"/>
            <w:vAlign w:val="center"/>
          </w:tcPr>
          <w:p>
            <w:pPr>
              <w:jc w:val="center"/>
              <w:rPr>
                <w:rFonts w:ascii="Times New Roman" w:hAnsi="Times New Roman" w:eastAsia="宋体" w:cs="Times New Roman"/>
                <w:kern w:val="0"/>
                <w:sz w:val="20"/>
                <w:szCs w:val="20"/>
                <w:highlight w:val="none"/>
              </w:rPr>
            </w:pPr>
          </w:p>
        </w:tc>
        <w:tc>
          <w:tcPr>
            <w:tcW w:w="2228" w:type="dxa"/>
            <w:vAlign w:val="center"/>
          </w:tcPr>
          <w:p>
            <w:pPr>
              <w:jc w:val="center"/>
              <w:rPr>
                <w:rFonts w:ascii="Times New Roman" w:hAnsi="Times New Roman" w:eastAsia="宋体" w:cs="Times New Roman"/>
                <w:kern w:val="0"/>
                <w:sz w:val="20"/>
                <w:szCs w:val="20"/>
                <w:highlight w:val="none"/>
              </w:rPr>
            </w:pPr>
          </w:p>
        </w:tc>
        <w:tc>
          <w:tcPr>
            <w:tcW w:w="817" w:type="dxa"/>
            <w:vAlign w:val="center"/>
          </w:tcPr>
          <w:p>
            <w:pPr>
              <w:jc w:val="center"/>
              <w:rPr>
                <w:rFonts w:ascii="Times New Roman" w:hAnsi="Times New Roman" w:eastAsia="宋体" w:cs="Times New Roman"/>
                <w:kern w:val="0"/>
                <w:sz w:val="20"/>
                <w:szCs w:val="20"/>
                <w:highlight w:val="none"/>
              </w:rPr>
            </w:pPr>
          </w:p>
        </w:tc>
        <w:tc>
          <w:tcPr>
            <w:tcW w:w="968" w:type="dxa"/>
            <w:vAlign w:val="center"/>
          </w:tcPr>
          <w:p>
            <w:pPr>
              <w:jc w:val="center"/>
              <w:rPr>
                <w:rFonts w:ascii="Times New Roman" w:hAnsi="Times New Roman" w:eastAsia="宋体" w:cs="Times New Roman"/>
                <w:kern w:val="0"/>
                <w:sz w:val="20"/>
                <w:szCs w:val="20"/>
                <w:highlight w:val="none"/>
              </w:rPr>
            </w:pPr>
          </w:p>
        </w:tc>
        <w:tc>
          <w:tcPr>
            <w:tcW w:w="1986" w:type="dxa"/>
            <w:vAlign w:val="center"/>
          </w:tcPr>
          <w:p>
            <w:pPr>
              <w:jc w:val="center"/>
              <w:rPr>
                <w:rFonts w:ascii="Times New Roman" w:hAnsi="Times New Roman" w:eastAsia="宋体" w:cs="Times New Roman"/>
                <w:kern w:val="0"/>
                <w:sz w:val="20"/>
                <w:szCs w:val="20"/>
                <w:highlight w:val="none"/>
              </w:rPr>
            </w:pPr>
          </w:p>
        </w:tc>
      </w:tr>
    </w:tbl>
    <w:p>
      <w:pPr>
        <w:spacing w:line="20" w:lineRule="exact"/>
        <w:rPr>
          <w:highlight w:val="none"/>
        </w:rPr>
      </w:pPr>
      <w:r>
        <w:rPr>
          <w:highlight w:val="none"/>
        </w:rPr>
        <w:br w:type="page"/>
      </w:r>
    </w:p>
    <w:p>
      <w:pPr>
        <w:adjustRightInd w:val="0"/>
        <w:snapToGrid w:val="0"/>
        <w:spacing w:line="360" w:lineRule="auto"/>
        <w:jc w:val="center"/>
        <w:outlineLvl w:val="0"/>
        <w:rPr>
          <w:rFonts w:hint="eastAsia" w:ascii="黑体" w:hAnsi="黑体" w:eastAsia="黑体" w:cs="黑体"/>
          <w:b w:val="0"/>
          <w:bCs/>
          <w:sz w:val="32"/>
          <w:szCs w:val="32"/>
          <w:highlight w:val="none"/>
        </w:rPr>
      </w:pPr>
      <w:bookmarkStart w:id="1870" w:name="_Toc22956"/>
      <w:r>
        <w:rPr>
          <w:rFonts w:hint="eastAsia" w:ascii="黑体" w:hAnsi="黑体" w:eastAsia="黑体" w:cs="黑体"/>
          <w:b w:val="0"/>
          <w:bCs/>
          <w:sz w:val="32"/>
          <w:szCs w:val="32"/>
          <w:highlight w:val="none"/>
        </w:rPr>
        <w:t>第九章  投标文件格式</w:t>
      </w:r>
      <w:bookmarkEnd w:id="1870"/>
    </w:p>
    <w:p>
      <w:pPr>
        <w:rPr>
          <w:highlight w:val="none"/>
        </w:rPr>
      </w:pPr>
      <w:r>
        <w:rPr>
          <w:highlight w:val="none"/>
        </w:rPr>
        <w:br w:type="page"/>
      </w:r>
    </w:p>
    <w:p>
      <w:pPr>
        <w:adjustRightInd w:val="0"/>
        <w:snapToGrid w:val="0"/>
        <w:spacing w:line="360" w:lineRule="auto"/>
        <w:ind w:firstLine="6425" w:firstLineChars="2000"/>
        <w:rPr>
          <w:rFonts w:hint="eastAsia" w:ascii="宋体" w:hAnsi="宋体" w:eastAsia="宋体" w:cs="宋体"/>
          <w:b/>
          <w:bCs w:val="0"/>
          <w:sz w:val="32"/>
          <w:szCs w:val="32"/>
          <w:highlight w:val="none"/>
        </w:rPr>
      </w:pPr>
      <w:r>
        <w:rPr>
          <w:rFonts w:hint="eastAsia" w:ascii="宋体" w:hAnsi="宋体" w:eastAsia="宋体" w:cs="宋体"/>
          <w:b/>
          <w:bCs w:val="0"/>
          <w:sz w:val="32"/>
          <w:szCs w:val="32"/>
          <w:highlight w:val="none"/>
        </w:rPr>
        <w:t>工程编号：</w:t>
      </w:r>
      <w:r>
        <w:rPr>
          <w:rFonts w:hint="eastAsia" w:ascii="宋体" w:hAnsi="宋体" w:eastAsia="宋体" w:cs="宋体"/>
          <w:b/>
          <w:bCs w:val="0"/>
          <w:sz w:val="32"/>
          <w:szCs w:val="32"/>
          <w:highlight w:val="none"/>
          <w:u w:val="single"/>
        </w:rPr>
        <w:t>_______</w:t>
      </w:r>
    </w:p>
    <w:p>
      <w:pPr>
        <w:adjustRightInd w:val="0"/>
        <w:snapToGrid w:val="0"/>
        <w:spacing w:line="360" w:lineRule="auto"/>
        <w:rPr>
          <w:rFonts w:hint="eastAsia" w:ascii="宋体" w:hAnsi="宋体" w:eastAsia="宋体" w:cs="宋体"/>
          <w:b/>
          <w:bCs w:val="0"/>
          <w:sz w:val="28"/>
          <w:highlight w:val="none"/>
        </w:rPr>
      </w:pPr>
    </w:p>
    <w:p>
      <w:pPr>
        <w:adjustRightInd w:val="0"/>
        <w:snapToGrid w:val="0"/>
        <w:spacing w:line="360" w:lineRule="auto"/>
        <w:jc w:val="center"/>
        <w:rPr>
          <w:rFonts w:hint="eastAsia" w:ascii="宋体" w:hAnsi="宋体" w:eastAsia="宋体" w:cs="宋体"/>
          <w:b/>
          <w:bCs w:val="0"/>
          <w:sz w:val="72"/>
          <w:highlight w:val="none"/>
        </w:rPr>
      </w:pPr>
      <w:r>
        <w:rPr>
          <w:rFonts w:hint="eastAsia" w:ascii="宋体" w:hAnsi="宋体" w:eastAsia="宋体" w:cs="宋体"/>
          <w:b/>
          <w:bCs w:val="0"/>
          <w:sz w:val="72"/>
          <w:highlight w:val="none"/>
        </w:rPr>
        <w:t>深圳市建设工程施工招标</w:t>
      </w:r>
    </w:p>
    <w:p>
      <w:pPr>
        <w:adjustRightInd w:val="0"/>
        <w:snapToGrid w:val="0"/>
        <w:spacing w:line="360" w:lineRule="auto"/>
        <w:jc w:val="center"/>
        <w:rPr>
          <w:rFonts w:hint="eastAsia" w:ascii="宋体" w:hAnsi="宋体" w:eastAsia="宋体" w:cs="宋体"/>
          <w:b/>
          <w:bCs w:val="0"/>
          <w:sz w:val="72"/>
          <w:highlight w:val="none"/>
        </w:rPr>
      </w:pPr>
      <w:r>
        <w:rPr>
          <w:rFonts w:hint="eastAsia" w:ascii="宋体" w:hAnsi="宋体" w:eastAsia="宋体" w:cs="宋体"/>
          <w:b/>
          <w:bCs w:val="0"/>
          <w:sz w:val="72"/>
          <w:highlight w:val="none"/>
        </w:rPr>
        <w:t>投 标 文 件</w:t>
      </w:r>
    </w:p>
    <w:p>
      <w:pPr>
        <w:adjustRightInd w:val="0"/>
        <w:snapToGrid w:val="0"/>
        <w:spacing w:line="360" w:lineRule="auto"/>
        <w:jc w:val="center"/>
        <w:rPr>
          <w:rFonts w:ascii="华文细黑"/>
          <w:b/>
          <w:bCs w:val="0"/>
          <w:sz w:val="72"/>
          <w:highlight w:val="none"/>
        </w:rPr>
      </w:pPr>
    </w:p>
    <w:p>
      <w:pPr>
        <w:adjustRightInd w:val="0"/>
        <w:snapToGrid w:val="0"/>
        <w:spacing w:line="360" w:lineRule="auto"/>
        <w:jc w:val="center"/>
        <w:rPr>
          <w:rFonts w:ascii="华文细黑"/>
          <w:b/>
          <w:sz w:val="72"/>
          <w:highlight w:val="none"/>
        </w:rPr>
      </w:pPr>
    </w:p>
    <w:p>
      <w:pPr>
        <w:adjustRightInd w:val="0"/>
        <w:snapToGrid w:val="0"/>
        <w:spacing w:line="360" w:lineRule="auto"/>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工程名称：</w:t>
      </w:r>
      <w:r>
        <w:rPr>
          <w:rFonts w:hint="eastAsia" w:ascii="宋体" w:hAnsi="宋体" w:eastAsia="宋体" w:cs="宋体"/>
          <w:b/>
          <w:bCs/>
          <w:sz w:val="32"/>
          <w:szCs w:val="32"/>
          <w:highlight w:val="none"/>
          <w:u w:val="single"/>
        </w:rPr>
        <w:t>_________________________________________</w:t>
      </w:r>
    </w:p>
    <w:p>
      <w:pPr>
        <w:adjustRightInd w:val="0"/>
        <w:snapToGrid w:val="0"/>
        <w:spacing w:line="360" w:lineRule="auto"/>
        <w:rPr>
          <w:rFonts w:hint="eastAsia" w:ascii="宋体" w:hAnsi="宋体" w:eastAsia="宋体" w:cs="宋体"/>
          <w:b/>
          <w:sz w:val="32"/>
          <w:highlight w:val="none"/>
        </w:rPr>
      </w:pPr>
    </w:p>
    <w:p>
      <w:pPr>
        <w:adjustRightInd w:val="0"/>
        <w:snapToGrid w:val="0"/>
        <w:spacing w:line="360" w:lineRule="auto"/>
        <w:outlineLvl w:val="1"/>
        <w:rPr>
          <w:rFonts w:hint="eastAsia" w:ascii="宋体" w:hAnsi="宋体" w:eastAsia="宋体" w:cs="宋体"/>
          <w:b/>
          <w:sz w:val="28"/>
          <w:highlight w:val="none"/>
        </w:rPr>
      </w:pPr>
      <w:bookmarkStart w:id="1871" w:name="_Toc29899"/>
      <w:r>
        <w:rPr>
          <w:rFonts w:hint="eastAsia" w:ascii="宋体" w:hAnsi="宋体" w:eastAsia="宋体" w:cs="宋体"/>
          <w:b/>
          <w:sz w:val="32"/>
          <w:highlight w:val="none"/>
        </w:rPr>
        <w:t>投标文件内容：</w:t>
      </w:r>
      <w:r>
        <w:rPr>
          <w:rFonts w:hint="eastAsia" w:ascii="宋体" w:hAnsi="宋体" w:eastAsia="宋体" w:cs="宋体"/>
          <w:b/>
          <w:sz w:val="52"/>
          <w:highlight w:val="none"/>
          <w:u w:val="single"/>
        </w:rPr>
        <w:t xml:space="preserve">    资格审查文件</w:t>
      </w:r>
      <w:bookmarkEnd w:id="1871"/>
      <w:r>
        <w:rPr>
          <w:rFonts w:hint="eastAsia" w:ascii="宋体" w:hAnsi="宋体" w:eastAsia="宋体" w:cs="宋体"/>
          <w:b/>
          <w:sz w:val="52"/>
          <w:highlight w:val="none"/>
          <w:u w:val="single"/>
        </w:rPr>
        <w:t xml:space="preserve">      </w:t>
      </w:r>
    </w:p>
    <w:p>
      <w:pPr>
        <w:adjustRightInd w:val="0"/>
        <w:snapToGrid w:val="0"/>
        <w:spacing w:line="360" w:lineRule="auto"/>
        <w:rPr>
          <w:rFonts w:hint="eastAsia" w:ascii="宋体" w:hAnsi="宋体" w:eastAsia="宋体" w:cs="宋体"/>
          <w:b/>
          <w:sz w:val="32"/>
          <w:highlight w:val="none"/>
        </w:rPr>
      </w:pPr>
    </w:p>
    <w:p>
      <w:pPr>
        <w:adjustRightInd w:val="0"/>
        <w:snapToGrid w:val="0"/>
        <w:spacing w:line="360" w:lineRule="auto"/>
        <w:rPr>
          <w:rFonts w:hint="eastAsia" w:ascii="宋体" w:hAnsi="宋体" w:eastAsia="宋体" w:cs="宋体"/>
          <w:b/>
          <w:sz w:val="32"/>
          <w:highlight w:val="none"/>
        </w:rPr>
      </w:pPr>
      <w:r>
        <w:rPr>
          <w:rFonts w:hint="eastAsia" w:ascii="宋体" w:hAnsi="宋体" w:eastAsia="宋体" w:cs="宋体"/>
          <w:b/>
          <w:sz w:val="32"/>
          <w:highlight w:val="none"/>
        </w:rPr>
        <w:t>投标人：</w:t>
      </w:r>
      <w:r>
        <w:rPr>
          <w:rFonts w:hint="eastAsia" w:ascii="宋体" w:hAnsi="宋体" w:eastAsia="宋体" w:cs="宋体"/>
          <w:b/>
          <w:sz w:val="32"/>
          <w:highlight w:val="none"/>
          <w:u w:val="single"/>
        </w:rPr>
        <w:t>_____________________________________</w:t>
      </w:r>
    </w:p>
    <w:p>
      <w:pPr>
        <w:adjustRightInd w:val="0"/>
        <w:snapToGrid w:val="0"/>
        <w:spacing w:line="360" w:lineRule="auto"/>
        <w:rPr>
          <w:rFonts w:hint="eastAsia" w:ascii="宋体" w:hAnsi="宋体" w:eastAsia="宋体" w:cs="宋体"/>
          <w:b/>
          <w:sz w:val="32"/>
          <w:highlight w:val="none"/>
        </w:rPr>
      </w:pPr>
    </w:p>
    <w:p>
      <w:pPr>
        <w:adjustRightInd w:val="0"/>
        <w:snapToGrid w:val="0"/>
        <w:spacing w:line="360" w:lineRule="auto"/>
        <w:rPr>
          <w:rFonts w:hint="eastAsia" w:ascii="宋体" w:hAnsi="宋体" w:eastAsia="宋体" w:cs="宋体"/>
          <w:b/>
          <w:sz w:val="32"/>
          <w:highlight w:val="none"/>
        </w:rPr>
      </w:pPr>
    </w:p>
    <w:p>
      <w:pPr>
        <w:adjustRightInd w:val="0"/>
        <w:snapToGrid w:val="0"/>
        <w:spacing w:line="360" w:lineRule="auto"/>
        <w:rPr>
          <w:highlight w:val="none"/>
        </w:rPr>
      </w:pPr>
      <w:r>
        <w:rPr>
          <w:rFonts w:hint="eastAsia" w:ascii="宋体" w:hAnsi="宋体" w:eastAsia="宋体" w:cs="宋体"/>
          <w:b/>
          <w:sz w:val="32"/>
          <w:highlight w:val="none"/>
        </w:rPr>
        <w:t>日期：</w:t>
      </w:r>
      <w:r>
        <w:rPr>
          <w:rFonts w:hint="eastAsia" w:ascii="宋体" w:hAnsi="宋体" w:eastAsia="宋体" w:cs="宋体"/>
          <w:b/>
          <w:sz w:val="32"/>
          <w:highlight w:val="none"/>
          <w:u w:val="single"/>
        </w:rPr>
        <w:t>____________</w:t>
      </w:r>
      <w:r>
        <w:rPr>
          <w:rFonts w:hint="eastAsia" w:ascii="宋体" w:hAnsi="宋体" w:eastAsia="宋体" w:cs="宋体"/>
          <w:b/>
          <w:sz w:val="32"/>
          <w:highlight w:val="none"/>
        </w:rPr>
        <w:t>年</w:t>
      </w:r>
      <w:r>
        <w:rPr>
          <w:rFonts w:hint="eastAsia" w:ascii="宋体" w:hAnsi="宋体" w:eastAsia="宋体" w:cs="宋体"/>
          <w:b/>
          <w:sz w:val="32"/>
          <w:highlight w:val="none"/>
          <w:u w:val="single"/>
        </w:rPr>
        <w:t>______</w:t>
      </w:r>
      <w:r>
        <w:rPr>
          <w:rFonts w:hint="eastAsia" w:ascii="宋体" w:hAnsi="宋体" w:eastAsia="宋体" w:cs="宋体"/>
          <w:b/>
          <w:sz w:val="32"/>
          <w:highlight w:val="none"/>
        </w:rPr>
        <w:t>月</w:t>
      </w:r>
      <w:r>
        <w:rPr>
          <w:rFonts w:hint="eastAsia" w:ascii="宋体" w:hAnsi="宋体" w:eastAsia="宋体" w:cs="宋体"/>
          <w:b/>
          <w:sz w:val="32"/>
          <w:highlight w:val="none"/>
          <w:u w:val="single"/>
        </w:rPr>
        <w:t>______</w:t>
      </w:r>
      <w:r>
        <w:rPr>
          <w:rFonts w:hint="eastAsia" w:ascii="宋体" w:hAnsi="宋体" w:eastAsia="宋体" w:cs="宋体"/>
          <w:b/>
          <w:sz w:val="32"/>
          <w:highlight w:val="none"/>
        </w:rPr>
        <w:t>日</w:t>
      </w:r>
      <w:r>
        <w:rPr>
          <w:highlight w:val="none"/>
        </w:rPr>
        <w:br w:type="page"/>
      </w:r>
    </w:p>
    <w:p>
      <w:pPr>
        <w:adjustRightInd w:val="0"/>
        <w:snapToGrid w:val="0"/>
        <w:spacing w:after="156" w:afterLines="50" w:line="360" w:lineRule="auto"/>
        <w:jc w:val="center"/>
        <w:rPr>
          <w:b/>
          <w:sz w:val="32"/>
          <w:highlight w:val="none"/>
        </w:rPr>
      </w:pPr>
    </w:p>
    <w:p>
      <w:pPr>
        <w:adjustRightInd w:val="0"/>
        <w:snapToGrid w:val="0"/>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资格审查文件目录</w:t>
      </w:r>
    </w:p>
    <w:p>
      <w:pPr>
        <w:adjustRightInd w:val="0"/>
        <w:snapToGrid w:val="0"/>
        <w:spacing w:line="360" w:lineRule="auto"/>
        <w:ind w:firstLine="420" w:firstLineChars="200"/>
        <w:rPr>
          <w:rFonts w:hint="eastAsia" w:ascii="宋体" w:hAnsi="宋体" w:eastAsia="宋体" w:cs="宋体"/>
          <w:highlight w:val="none"/>
        </w:rPr>
      </w:pP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1、投标人营业执照（扫描件）；</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2、投标人资质证书（扫描件）；</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3、投标人安全生产许可证证明以及拟派项目经理的安全生产考核合格证证明（扫描件）；</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4、投标人拟派出的项目经理的《项目经理证》或《注册建造师证》的扫描件；</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5、投标担保证明文件扫描件（如银行纸质保函、保证金</w:t>
      </w:r>
      <w:r>
        <w:rPr>
          <w:rFonts w:hint="eastAsia" w:ascii="宋体" w:hAnsi="宋体" w:eastAsia="宋体" w:cs="宋体"/>
          <w:szCs w:val="21"/>
          <w:highlight w:val="none"/>
          <w:lang w:eastAsia="zh-CN"/>
        </w:rPr>
        <w:t>、投标保证保险合同或保险单</w:t>
      </w:r>
      <w:r>
        <w:rPr>
          <w:rFonts w:hint="eastAsia" w:ascii="宋体" w:hAnsi="宋体" w:eastAsia="宋体" w:cs="宋体"/>
          <w:szCs w:val="21"/>
          <w:highlight w:val="none"/>
        </w:rPr>
        <w:t>等）；</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6、招标人要求提供的与投标人条件审查有关的其他资格证明材料：（必须详细、明确、足以证明资格条件）。所有扫描件格式为jpg格式，且图片的分辨率小于100dpi。</w:t>
      </w:r>
    </w:p>
    <w:p>
      <w:pPr>
        <w:adjustRightInd w:val="0"/>
        <w:snapToGrid w:val="0"/>
        <w:spacing w:line="360" w:lineRule="auto"/>
        <w:ind w:firstLine="411" w:firstLineChars="196"/>
        <w:rPr>
          <w:rFonts w:hint="eastAsia" w:ascii="宋体" w:hAnsi="宋体" w:eastAsia="宋体" w:cs="宋体"/>
          <w:highlight w:val="none"/>
        </w:rPr>
      </w:pPr>
      <w:r>
        <w:rPr>
          <w:rFonts w:hint="eastAsia" w:ascii="宋体" w:hAnsi="宋体" w:eastAsia="宋体" w:cs="宋体"/>
          <w:szCs w:val="21"/>
          <w:highlight w:val="none"/>
          <w:u w:val="single"/>
        </w:rPr>
        <w:t xml:space="preserve">      </w:t>
      </w:r>
      <w:r>
        <w:rPr>
          <w:rFonts w:hint="eastAsia" w:ascii="宋体" w:hAnsi="宋体" w:eastAsia="宋体" w:cs="宋体"/>
          <w:highlight w:val="none"/>
        </w:rPr>
        <w:br w:type="page"/>
      </w:r>
    </w:p>
    <w:p>
      <w:pPr>
        <w:adjustRightInd w:val="0"/>
        <w:snapToGrid w:val="0"/>
        <w:spacing w:line="360" w:lineRule="auto"/>
        <w:jc w:val="center"/>
        <w:rPr>
          <w:rFonts w:hint="eastAsia" w:ascii="宋体" w:hAnsi="宋体" w:eastAsia="宋体" w:cs="宋体"/>
          <w:sz w:val="44"/>
          <w:highlight w:val="none"/>
        </w:rPr>
      </w:pPr>
      <w:r>
        <w:rPr>
          <w:rFonts w:hint="eastAsia" w:ascii="宋体" w:hAnsi="宋体" w:eastAsia="宋体" w:cs="宋体"/>
          <w:sz w:val="44"/>
          <w:highlight w:val="none"/>
        </w:rPr>
        <w:t>投标保函</w:t>
      </w:r>
    </w:p>
    <w:p>
      <w:pPr>
        <w:adjustRightInd w:val="0"/>
        <w:snapToGrid w:val="0"/>
        <w:ind w:firstLine="5670" w:firstLineChars="2700"/>
        <w:rPr>
          <w:rFonts w:hint="eastAsia" w:ascii="宋体" w:hAnsi="宋体" w:eastAsia="宋体" w:cs="宋体"/>
          <w:szCs w:val="21"/>
          <w:highlight w:val="none"/>
        </w:rPr>
      </w:pPr>
      <w:r>
        <w:rPr>
          <w:rFonts w:hint="eastAsia" w:ascii="宋体" w:hAnsi="宋体" w:eastAsia="宋体" w:cs="宋体"/>
          <w:szCs w:val="21"/>
          <w:highlight w:val="none"/>
        </w:rPr>
        <w:t>保函编号：</w:t>
      </w:r>
      <w:r>
        <w:rPr>
          <w:rFonts w:hint="eastAsia" w:ascii="宋体" w:hAnsi="宋体" w:eastAsia="宋体" w:cs="宋体"/>
          <w:szCs w:val="21"/>
          <w:highlight w:val="none"/>
          <w:u w:val="single"/>
        </w:rPr>
        <w:t>__________</w:t>
      </w:r>
    </w:p>
    <w:p>
      <w:pPr>
        <w:adjustRightInd w:val="0"/>
        <w:snapToGrid w:val="0"/>
        <w:spacing w:line="360" w:lineRule="exact"/>
        <w:rPr>
          <w:rFonts w:hint="eastAsia" w:ascii="宋体" w:hAnsi="宋体" w:eastAsia="宋体" w:cs="宋体"/>
          <w:szCs w:val="21"/>
          <w:highlight w:val="none"/>
        </w:rPr>
      </w:pPr>
    </w:p>
    <w:p>
      <w:pPr>
        <w:adjustRightInd w:val="0"/>
        <w:snapToGrid w:val="0"/>
        <w:spacing w:line="360" w:lineRule="exact"/>
        <w:rPr>
          <w:rFonts w:hint="eastAsia" w:ascii="宋体" w:hAnsi="宋体" w:eastAsia="宋体" w:cs="宋体"/>
          <w:szCs w:val="21"/>
          <w:highlight w:val="none"/>
        </w:rPr>
      </w:pPr>
      <w:r>
        <w:rPr>
          <w:rFonts w:hint="eastAsia" w:ascii="宋体" w:hAnsi="宋体" w:eastAsia="宋体" w:cs="宋体"/>
          <w:szCs w:val="21"/>
          <w:highlight w:val="none"/>
        </w:rPr>
        <w:t>致</w:t>
      </w:r>
      <w:r>
        <w:rPr>
          <w:rFonts w:hint="eastAsia" w:ascii="宋体" w:hAnsi="宋体" w:eastAsia="宋体" w:cs="宋体"/>
          <w:szCs w:val="21"/>
          <w:highlight w:val="none"/>
          <w:u w:val="single"/>
        </w:rPr>
        <w:t>______________________________</w:t>
      </w:r>
      <w:r>
        <w:rPr>
          <w:rFonts w:hint="eastAsia" w:ascii="宋体" w:hAnsi="宋体" w:eastAsia="宋体" w:cs="宋体"/>
          <w:szCs w:val="21"/>
          <w:highlight w:val="none"/>
        </w:rPr>
        <w:t>（下称受益人）：</w:t>
      </w:r>
    </w:p>
    <w:p>
      <w:pPr>
        <w:adjustRightInd w:val="0"/>
        <w:snapToGrid w:val="0"/>
        <w:spacing w:line="360" w:lineRule="exact"/>
        <w:ind w:firstLine="482"/>
        <w:rPr>
          <w:rFonts w:hint="eastAsia" w:ascii="宋体" w:hAnsi="宋体" w:eastAsia="宋体" w:cs="宋体"/>
          <w:szCs w:val="21"/>
          <w:highlight w:val="none"/>
        </w:rPr>
      </w:pPr>
      <w:r>
        <w:rPr>
          <w:rFonts w:hint="eastAsia" w:ascii="宋体" w:hAnsi="宋体" w:eastAsia="宋体" w:cs="宋体"/>
          <w:szCs w:val="21"/>
          <w:highlight w:val="none"/>
        </w:rPr>
        <w:t>鉴于</w:t>
      </w:r>
      <w:r>
        <w:rPr>
          <w:rFonts w:hint="eastAsia" w:ascii="宋体" w:hAnsi="宋体" w:eastAsia="宋体" w:cs="宋体"/>
          <w:szCs w:val="21"/>
          <w:highlight w:val="none"/>
          <w:u w:val="single"/>
        </w:rPr>
        <w:t>_____________________________</w:t>
      </w:r>
      <w:r>
        <w:rPr>
          <w:rFonts w:hint="eastAsia" w:ascii="宋体" w:hAnsi="宋体" w:eastAsia="宋体" w:cs="宋体"/>
          <w:szCs w:val="21"/>
          <w:highlight w:val="none"/>
        </w:rPr>
        <w:t>（下称被保证人）将参加贵方标段编号为</w:t>
      </w:r>
      <w:r>
        <w:rPr>
          <w:rFonts w:hint="eastAsia" w:ascii="宋体" w:hAnsi="宋体" w:eastAsia="宋体" w:cs="宋体"/>
          <w:szCs w:val="21"/>
          <w:highlight w:val="none"/>
          <w:u w:val="single"/>
        </w:rPr>
        <w:t>______________</w:t>
      </w:r>
      <w:r>
        <w:rPr>
          <w:rFonts w:hint="eastAsia" w:ascii="宋体" w:hAnsi="宋体" w:eastAsia="宋体" w:cs="宋体"/>
          <w:szCs w:val="21"/>
          <w:highlight w:val="none"/>
        </w:rPr>
        <w:t>的</w:t>
      </w:r>
      <w:r>
        <w:rPr>
          <w:rFonts w:hint="eastAsia" w:ascii="宋体" w:hAnsi="宋体" w:eastAsia="宋体" w:cs="宋体"/>
          <w:szCs w:val="21"/>
          <w:highlight w:val="none"/>
          <w:u w:val="single"/>
        </w:rPr>
        <w:t>____________________________________</w:t>
      </w:r>
      <w:r>
        <w:rPr>
          <w:rFonts w:hint="eastAsia" w:ascii="宋体" w:hAnsi="宋体" w:eastAsia="宋体" w:cs="宋体"/>
          <w:szCs w:val="21"/>
          <w:highlight w:val="none"/>
        </w:rPr>
        <w:t>工程的投标，我方接受被保证人的委托，在此向受益人提供不可撤销的投标保证：</w:t>
      </w:r>
    </w:p>
    <w:p>
      <w:pPr>
        <w:adjustRightInd w:val="0"/>
        <w:snapToGrid w:val="0"/>
        <w:spacing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一、本保证担保的担保金额为</w:t>
      </w:r>
      <w:r>
        <w:rPr>
          <w:rFonts w:hint="eastAsia" w:ascii="宋体" w:hAnsi="宋体" w:eastAsia="宋体" w:cs="宋体"/>
          <w:szCs w:val="21"/>
          <w:highlight w:val="none"/>
          <w:u w:val="single"/>
        </w:rPr>
        <w:t>______</w:t>
      </w:r>
      <w:r>
        <w:rPr>
          <w:rFonts w:hint="eastAsia" w:ascii="宋体" w:hAnsi="宋体" w:eastAsia="宋体" w:cs="宋体"/>
          <w:szCs w:val="21"/>
          <w:highlight w:val="none"/>
        </w:rPr>
        <w:t>（币种）</w:t>
      </w:r>
      <w:r>
        <w:rPr>
          <w:rFonts w:hint="eastAsia" w:ascii="宋体" w:hAnsi="宋体" w:eastAsia="宋体" w:cs="宋体"/>
          <w:szCs w:val="21"/>
          <w:highlight w:val="none"/>
          <w:u w:val="single"/>
        </w:rPr>
        <w:t>______</w:t>
      </w:r>
      <w:r>
        <w:rPr>
          <w:rFonts w:hint="eastAsia" w:ascii="宋体" w:hAnsi="宋体" w:eastAsia="宋体" w:cs="宋体"/>
          <w:szCs w:val="21"/>
          <w:highlight w:val="none"/>
        </w:rPr>
        <w:t>元（小写）</w:t>
      </w:r>
      <w:r>
        <w:rPr>
          <w:rFonts w:hint="eastAsia" w:ascii="宋体" w:hAnsi="宋体" w:eastAsia="宋体" w:cs="宋体"/>
          <w:szCs w:val="21"/>
          <w:highlight w:val="none"/>
          <w:u w:val="single"/>
        </w:rPr>
        <w:t>_____________</w:t>
      </w:r>
      <w:r>
        <w:rPr>
          <w:rFonts w:hint="eastAsia" w:ascii="宋体" w:hAnsi="宋体" w:eastAsia="宋体" w:cs="宋体"/>
          <w:szCs w:val="21"/>
          <w:highlight w:val="none"/>
        </w:rPr>
        <w:t>（大写）。</w:t>
      </w:r>
    </w:p>
    <w:p>
      <w:pPr>
        <w:adjustRightInd w:val="0"/>
        <w:snapToGrid w:val="0"/>
        <w:spacing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二、本保证担保的保证期间为该工程的投标有效期（或延长的投标有效期）后28日（含28日），延长投标有效期无须通知我方。</w:t>
      </w:r>
    </w:p>
    <w:p>
      <w:pPr>
        <w:adjustRightInd w:val="0"/>
        <w:snapToGrid w:val="0"/>
        <w:spacing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三、在本保证担保的保证期间内，如果被保证人出现下列情形之一，受益人可以向我方提起索赔：</w:t>
      </w:r>
    </w:p>
    <w:p>
      <w:pPr>
        <w:adjustRightInd w:val="0"/>
        <w:snapToGrid w:val="0"/>
        <w:spacing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1.被保证人在招标文件规定的投标有效期内撤回其投标；</w:t>
      </w:r>
    </w:p>
    <w:p>
      <w:pPr>
        <w:adjustRightInd w:val="0"/>
        <w:snapToGrid w:val="0"/>
        <w:spacing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2.被保证人在投标有效期内收到受益人发出的中标通知书后，不能或拒绝按招标文件的要求签署施工合同；</w:t>
      </w:r>
    </w:p>
    <w:p>
      <w:pPr>
        <w:adjustRightInd w:val="0"/>
        <w:snapToGrid w:val="0"/>
        <w:spacing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3.被保证人在投标有效期内收到受益人发出的中标通知书后，不能或拒绝按招标文件的规定提交履约担保。</w:t>
      </w:r>
    </w:p>
    <w:p>
      <w:pPr>
        <w:adjustRightInd w:val="0"/>
        <w:snapToGrid w:val="0"/>
        <w:spacing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四、在本保证担保的保证期间内，我方收到受益人经法定代表人或其授权委托代理人签字并加盖公章的书面索赔通知后，将不争辩、不挑剔、不可撤销地立即向受益人支付本保证担保的担保金额。</w:t>
      </w:r>
    </w:p>
    <w:p>
      <w:pPr>
        <w:adjustRightInd w:val="0"/>
        <w:snapToGrid w:val="0"/>
        <w:spacing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五、受益人的索赔通知应当说明索赔理由，并必须在本保证担保的保证期间内以专人送达或邮寄送达的方式送达我方。</w:t>
      </w:r>
    </w:p>
    <w:p>
      <w:pPr>
        <w:adjustRightInd w:val="0"/>
        <w:snapToGrid w:val="0"/>
        <w:spacing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六、本保证担保项下的权利不得转让。</w:t>
      </w:r>
    </w:p>
    <w:p>
      <w:pPr>
        <w:adjustRightInd w:val="0"/>
        <w:snapToGrid w:val="0"/>
        <w:spacing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七、本保证担保的保证期间届满，或我方已向受益人支付本保证担保的担保金额，我方的保证责任免除。</w:t>
      </w:r>
    </w:p>
    <w:p>
      <w:pPr>
        <w:adjustRightInd w:val="0"/>
        <w:snapToGrid w:val="0"/>
        <w:spacing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八、本保证担保适用中华人民共和国法律。</w:t>
      </w:r>
    </w:p>
    <w:p>
      <w:pPr>
        <w:adjustRightInd w:val="0"/>
        <w:snapToGrid w:val="0"/>
        <w:spacing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九、本保证担保以中文文本为准，涂改无效。</w:t>
      </w:r>
    </w:p>
    <w:p>
      <w:pPr>
        <w:adjustRightInd w:val="0"/>
        <w:snapToGrid w:val="0"/>
        <w:spacing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保证人（盖章）：</w:t>
      </w:r>
      <w:r>
        <w:rPr>
          <w:rFonts w:hint="eastAsia" w:ascii="宋体" w:hAnsi="宋体" w:eastAsia="宋体" w:cs="宋体"/>
          <w:szCs w:val="21"/>
          <w:highlight w:val="none"/>
          <w:u w:val="single"/>
        </w:rPr>
        <w:t>___________________________________________________</w:t>
      </w:r>
    </w:p>
    <w:p>
      <w:pPr>
        <w:adjustRightInd w:val="0"/>
        <w:snapToGrid w:val="0"/>
        <w:spacing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法定代表人或其授权委托代理人（签字或盖章）：</w:t>
      </w:r>
      <w:r>
        <w:rPr>
          <w:rFonts w:hint="eastAsia" w:ascii="宋体" w:hAnsi="宋体" w:eastAsia="宋体" w:cs="宋体"/>
          <w:szCs w:val="21"/>
          <w:highlight w:val="none"/>
          <w:u w:val="single"/>
        </w:rPr>
        <w:t>_______________________</w:t>
      </w:r>
    </w:p>
    <w:p>
      <w:pPr>
        <w:adjustRightInd w:val="0"/>
        <w:snapToGrid w:val="0"/>
        <w:spacing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单位地址：</w:t>
      </w:r>
      <w:r>
        <w:rPr>
          <w:rFonts w:hint="eastAsia" w:ascii="宋体" w:hAnsi="宋体" w:eastAsia="宋体" w:cs="宋体"/>
          <w:szCs w:val="21"/>
          <w:highlight w:val="none"/>
          <w:u w:val="single"/>
        </w:rPr>
        <w:t>________________________________________________________</w:t>
      </w:r>
    </w:p>
    <w:p>
      <w:pPr>
        <w:adjustRightInd w:val="0"/>
        <w:snapToGrid w:val="0"/>
        <w:spacing w:line="360" w:lineRule="exact"/>
        <w:ind w:firstLine="480"/>
        <w:rPr>
          <w:rFonts w:hint="eastAsia" w:ascii="宋体" w:hAnsi="宋体" w:eastAsia="宋体" w:cs="宋体"/>
          <w:szCs w:val="21"/>
          <w:highlight w:val="none"/>
        </w:rPr>
      </w:pPr>
      <w:r>
        <w:rPr>
          <w:rFonts w:hint="eastAsia" w:ascii="宋体" w:hAnsi="宋体" w:eastAsia="宋体" w:cs="宋体"/>
          <w:szCs w:val="21"/>
          <w:highlight w:val="none"/>
        </w:rPr>
        <w:t>邮政编码：</w:t>
      </w:r>
      <w:r>
        <w:rPr>
          <w:rFonts w:hint="eastAsia" w:ascii="宋体" w:hAnsi="宋体" w:eastAsia="宋体" w:cs="宋体"/>
          <w:szCs w:val="21"/>
          <w:highlight w:val="none"/>
          <w:u w:val="single"/>
        </w:rPr>
        <w:t>___________</w:t>
      </w:r>
      <w:r>
        <w:rPr>
          <w:rFonts w:hint="eastAsia" w:ascii="宋体" w:hAnsi="宋体" w:eastAsia="宋体" w:cs="宋体"/>
          <w:szCs w:val="21"/>
          <w:highlight w:val="none"/>
        </w:rPr>
        <w:t>电话：</w:t>
      </w:r>
      <w:r>
        <w:rPr>
          <w:rFonts w:hint="eastAsia" w:ascii="宋体" w:hAnsi="宋体" w:eastAsia="宋体" w:cs="宋体"/>
          <w:szCs w:val="21"/>
          <w:highlight w:val="none"/>
          <w:u w:val="single"/>
        </w:rPr>
        <w:t>_________________</w:t>
      </w:r>
      <w:r>
        <w:rPr>
          <w:rFonts w:hint="eastAsia" w:ascii="宋体" w:hAnsi="宋体" w:eastAsia="宋体" w:cs="宋体"/>
          <w:szCs w:val="21"/>
          <w:highlight w:val="none"/>
        </w:rPr>
        <w:t>传真：</w:t>
      </w:r>
      <w:r>
        <w:rPr>
          <w:rFonts w:hint="eastAsia" w:ascii="宋体" w:hAnsi="宋体" w:eastAsia="宋体" w:cs="宋体"/>
          <w:szCs w:val="21"/>
          <w:highlight w:val="none"/>
          <w:u w:val="single"/>
        </w:rPr>
        <w:t>________________</w:t>
      </w:r>
    </w:p>
    <w:p>
      <w:pPr>
        <w:adjustRightInd w:val="0"/>
        <w:snapToGrid w:val="0"/>
        <w:spacing w:line="3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日期：</w:t>
      </w:r>
      <w:r>
        <w:rPr>
          <w:rFonts w:hint="eastAsia" w:ascii="宋体" w:hAnsi="宋体" w:eastAsia="宋体" w:cs="宋体"/>
          <w:szCs w:val="21"/>
          <w:highlight w:val="none"/>
          <w:u w:val="single"/>
        </w:rPr>
        <w:t>__________</w:t>
      </w:r>
      <w:r>
        <w:rPr>
          <w:rFonts w:hint="eastAsia" w:ascii="宋体" w:hAnsi="宋体" w:eastAsia="宋体" w:cs="宋体"/>
          <w:szCs w:val="21"/>
          <w:highlight w:val="none"/>
        </w:rPr>
        <w:t>年</w:t>
      </w:r>
      <w:r>
        <w:rPr>
          <w:rFonts w:hint="eastAsia" w:ascii="宋体" w:hAnsi="宋体" w:eastAsia="宋体" w:cs="宋体"/>
          <w:szCs w:val="21"/>
          <w:highlight w:val="none"/>
          <w:u w:val="single"/>
        </w:rPr>
        <w:t>______</w:t>
      </w:r>
      <w:r>
        <w:rPr>
          <w:rFonts w:hint="eastAsia" w:ascii="宋体" w:hAnsi="宋体" w:eastAsia="宋体" w:cs="宋体"/>
          <w:szCs w:val="21"/>
          <w:highlight w:val="none"/>
        </w:rPr>
        <w:t>月</w:t>
      </w:r>
      <w:r>
        <w:rPr>
          <w:rFonts w:hint="eastAsia" w:ascii="宋体" w:hAnsi="宋体" w:eastAsia="宋体" w:cs="宋体"/>
          <w:szCs w:val="21"/>
          <w:highlight w:val="none"/>
          <w:u w:val="single"/>
        </w:rPr>
        <w:t>______</w:t>
      </w:r>
      <w:r>
        <w:rPr>
          <w:rFonts w:hint="eastAsia" w:ascii="宋体" w:hAnsi="宋体" w:eastAsia="宋体" w:cs="宋体"/>
          <w:szCs w:val="21"/>
          <w:highlight w:val="none"/>
        </w:rPr>
        <w:t>日</w:t>
      </w:r>
    </w:p>
    <w:p>
      <w:pPr>
        <w:tabs>
          <w:tab w:val="right" w:pos="8730"/>
        </w:tabs>
        <w:adjustRightInd w:val="0"/>
        <w:snapToGrid w:val="0"/>
        <w:spacing w:line="360" w:lineRule="exact"/>
        <w:rPr>
          <w:rFonts w:hint="eastAsia" w:ascii="宋体" w:hAnsi="宋体" w:eastAsia="宋体" w:cs="宋体"/>
          <w:szCs w:val="21"/>
          <w:highlight w:val="none"/>
        </w:rPr>
      </w:pPr>
    </w:p>
    <w:p>
      <w:pPr>
        <w:adjustRightInd w:val="0"/>
        <w:snapToGrid w:val="0"/>
        <w:spacing w:line="360" w:lineRule="exact"/>
        <w:rPr>
          <w:rFonts w:hint="eastAsia" w:ascii="宋体" w:hAnsi="宋体" w:eastAsia="宋体" w:cs="宋体"/>
          <w:szCs w:val="21"/>
          <w:highlight w:val="none"/>
        </w:rPr>
      </w:pPr>
      <w:r>
        <w:rPr>
          <w:rFonts w:hint="eastAsia" w:ascii="宋体" w:hAnsi="宋体" w:eastAsia="宋体" w:cs="宋体"/>
          <w:szCs w:val="21"/>
          <w:highlight w:val="none"/>
        </w:rPr>
        <w:t>（本保函失效后，请将原件退回我方注销）</w:t>
      </w:r>
    </w:p>
    <w:p>
      <w:pPr>
        <w:adjustRightInd w:val="0"/>
        <w:snapToGrid w:val="0"/>
        <w:spacing w:line="360" w:lineRule="exact"/>
        <w:rPr>
          <w:rFonts w:hint="eastAsia" w:ascii="宋体" w:hAnsi="宋体" w:eastAsia="宋体" w:cs="宋体"/>
          <w:szCs w:val="21"/>
          <w:highlight w:val="none"/>
        </w:rPr>
      </w:pPr>
    </w:p>
    <w:p>
      <w:pPr>
        <w:adjustRightInd w:val="0"/>
        <w:snapToGrid w:val="0"/>
        <w:spacing w:line="360" w:lineRule="exact"/>
        <w:jc w:val="center"/>
        <w:rPr>
          <w:highlight w:val="none"/>
        </w:rPr>
      </w:pPr>
      <w:r>
        <w:rPr>
          <w:rFonts w:hint="eastAsia" w:ascii="宋体" w:hAnsi="宋体" w:eastAsia="宋体" w:cs="宋体"/>
          <w:szCs w:val="21"/>
          <w:highlight w:val="none"/>
        </w:rPr>
        <w:t>注：如果投标人不采用以上投标保函格式，拟采用的投标保函格式须经招标人确认。</w:t>
      </w:r>
      <w:r>
        <w:rPr>
          <w:highlight w:val="none"/>
        </w:rPr>
        <w:br w:type="page"/>
      </w:r>
    </w:p>
    <w:p>
      <w:pPr>
        <w:adjustRightInd w:val="0"/>
        <w:snapToGrid w:val="0"/>
        <w:spacing w:line="360" w:lineRule="auto"/>
        <w:ind w:firstLine="5140" w:firstLineChars="1600"/>
        <w:rPr>
          <w:rFonts w:hint="eastAsia" w:ascii="宋体" w:hAnsi="宋体" w:eastAsia="宋体" w:cs="宋体"/>
          <w:b/>
          <w:sz w:val="32"/>
          <w:szCs w:val="32"/>
          <w:highlight w:val="none"/>
        </w:rPr>
      </w:pPr>
      <w:r>
        <w:rPr>
          <w:rFonts w:hint="eastAsia" w:ascii="宋体" w:hAnsi="宋体" w:eastAsia="宋体" w:cs="宋体"/>
          <w:b/>
          <w:sz w:val="32"/>
          <w:szCs w:val="32"/>
          <w:highlight w:val="none"/>
        </w:rPr>
        <w:t>工程编号：</w:t>
      </w:r>
      <w:r>
        <w:rPr>
          <w:rFonts w:hint="eastAsia" w:ascii="宋体" w:hAnsi="宋体" w:eastAsia="宋体" w:cs="宋体"/>
          <w:b/>
          <w:bCs/>
          <w:sz w:val="32"/>
          <w:szCs w:val="32"/>
          <w:highlight w:val="none"/>
          <w:u w:val="single"/>
        </w:rPr>
        <w:t>_____________</w:t>
      </w:r>
    </w:p>
    <w:p>
      <w:pPr>
        <w:adjustRightInd w:val="0"/>
        <w:snapToGrid w:val="0"/>
        <w:spacing w:line="360" w:lineRule="auto"/>
        <w:rPr>
          <w:rFonts w:hint="eastAsia" w:ascii="宋体" w:hAnsi="宋体" w:eastAsia="宋体" w:cs="宋体"/>
          <w:b/>
          <w:bCs/>
          <w:sz w:val="28"/>
          <w:highlight w:val="none"/>
        </w:rPr>
      </w:pPr>
    </w:p>
    <w:p>
      <w:pPr>
        <w:adjustRightInd w:val="0"/>
        <w:snapToGrid w:val="0"/>
        <w:spacing w:line="360" w:lineRule="auto"/>
        <w:rPr>
          <w:rFonts w:hint="eastAsia" w:ascii="宋体" w:hAnsi="宋体" w:eastAsia="宋体" w:cs="宋体"/>
          <w:b/>
          <w:bCs/>
          <w:sz w:val="28"/>
          <w:highlight w:val="none"/>
        </w:rPr>
      </w:pPr>
    </w:p>
    <w:p>
      <w:pPr>
        <w:adjustRightInd w:val="0"/>
        <w:snapToGrid w:val="0"/>
        <w:spacing w:line="360" w:lineRule="auto"/>
        <w:jc w:val="center"/>
        <w:rPr>
          <w:rFonts w:hint="eastAsia" w:ascii="宋体" w:hAnsi="宋体" w:eastAsia="宋体" w:cs="宋体"/>
          <w:b/>
          <w:sz w:val="72"/>
          <w:highlight w:val="none"/>
        </w:rPr>
      </w:pPr>
      <w:r>
        <w:rPr>
          <w:rFonts w:hint="eastAsia" w:ascii="宋体" w:hAnsi="宋体" w:eastAsia="宋体" w:cs="宋体"/>
          <w:b/>
          <w:sz w:val="72"/>
          <w:highlight w:val="none"/>
        </w:rPr>
        <w:t>深圳市建设工程施工招标</w:t>
      </w:r>
    </w:p>
    <w:p>
      <w:pPr>
        <w:adjustRightInd w:val="0"/>
        <w:snapToGrid w:val="0"/>
        <w:spacing w:line="360" w:lineRule="auto"/>
        <w:jc w:val="center"/>
        <w:rPr>
          <w:rFonts w:hint="eastAsia" w:ascii="宋体" w:hAnsi="宋体" w:eastAsia="宋体" w:cs="宋体"/>
          <w:b/>
          <w:sz w:val="72"/>
          <w:highlight w:val="none"/>
        </w:rPr>
      </w:pPr>
      <w:r>
        <w:rPr>
          <w:rFonts w:hint="eastAsia" w:ascii="宋体" w:hAnsi="宋体" w:eastAsia="宋体" w:cs="宋体"/>
          <w:b/>
          <w:sz w:val="72"/>
          <w:highlight w:val="none"/>
        </w:rPr>
        <w:t>投 标 文 件</w:t>
      </w:r>
    </w:p>
    <w:p>
      <w:pPr>
        <w:adjustRightInd w:val="0"/>
        <w:snapToGrid w:val="0"/>
        <w:spacing w:line="360" w:lineRule="auto"/>
        <w:jc w:val="center"/>
        <w:rPr>
          <w:rFonts w:hint="eastAsia" w:ascii="宋体" w:hAnsi="宋体" w:eastAsia="宋体" w:cs="宋体"/>
          <w:b/>
          <w:sz w:val="72"/>
          <w:highlight w:val="none"/>
        </w:rPr>
      </w:pPr>
    </w:p>
    <w:p>
      <w:pPr>
        <w:adjustRightInd w:val="0"/>
        <w:snapToGrid w:val="0"/>
        <w:spacing w:line="360" w:lineRule="auto"/>
        <w:jc w:val="center"/>
        <w:rPr>
          <w:rFonts w:hint="eastAsia" w:ascii="宋体" w:hAnsi="宋体" w:eastAsia="宋体" w:cs="宋体"/>
          <w:b/>
          <w:sz w:val="72"/>
          <w:highlight w:val="none"/>
        </w:rPr>
      </w:pPr>
    </w:p>
    <w:p>
      <w:pPr>
        <w:adjustRightInd w:val="0"/>
        <w:snapToGrid w:val="0"/>
        <w:spacing w:line="360" w:lineRule="auto"/>
        <w:rPr>
          <w:rFonts w:hint="eastAsia" w:ascii="宋体" w:hAnsi="宋体" w:eastAsia="宋体" w:cs="宋体"/>
          <w:b/>
          <w:sz w:val="32"/>
          <w:highlight w:val="none"/>
        </w:rPr>
      </w:pPr>
      <w:r>
        <w:rPr>
          <w:rFonts w:hint="eastAsia" w:ascii="宋体" w:hAnsi="宋体" w:eastAsia="宋体" w:cs="宋体"/>
          <w:b/>
          <w:sz w:val="32"/>
          <w:highlight w:val="none"/>
        </w:rPr>
        <w:t>工程名称：</w:t>
      </w:r>
      <w:r>
        <w:rPr>
          <w:rFonts w:hint="eastAsia" w:ascii="宋体" w:hAnsi="宋体" w:eastAsia="宋体" w:cs="宋体"/>
          <w:b/>
          <w:sz w:val="32"/>
          <w:highlight w:val="none"/>
          <w:u w:val="single"/>
        </w:rPr>
        <w:t>___________________________________________</w:t>
      </w:r>
    </w:p>
    <w:p>
      <w:pPr>
        <w:adjustRightInd w:val="0"/>
        <w:snapToGrid w:val="0"/>
        <w:spacing w:line="360" w:lineRule="auto"/>
        <w:rPr>
          <w:rFonts w:hint="eastAsia" w:ascii="宋体" w:hAnsi="宋体" w:eastAsia="宋体" w:cs="宋体"/>
          <w:b/>
          <w:sz w:val="32"/>
          <w:highlight w:val="none"/>
        </w:rPr>
      </w:pPr>
    </w:p>
    <w:p>
      <w:pPr>
        <w:adjustRightInd w:val="0"/>
        <w:snapToGrid w:val="0"/>
        <w:spacing w:line="360" w:lineRule="auto"/>
        <w:outlineLvl w:val="1"/>
        <w:rPr>
          <w:rFonts w:hint="eastAsia" w:ascii="宋体" w:hAnsi="宋体" w:eastAsia="宋体" w:cs="宋体"/>
          <w:b/>
          <w:sz w:val="32"/>
          <w:highlight w:val="none"/>
        </w:rPr>
      </w:pPr>
      <w:bookmarkStart w:id="1872" w:name="_Toc26088"/>
      <w:r>
        <w:rPr>
          <w:rFonts w:hint="eastAsia" w:ascii="宋体" w:hAnsi="宋体" w:eastAsia="宋体" w:cs="宋体"/>
          <w:b/>
          <w:sz w:val="32"/>
          <w:highlight w:val="none"/>
        </w:rPr>
        <w:t>投标文件内容：</w:t>
      </w:r>
      <w:r>
        <w:rPr>
          <w:rFonts w:hint="eastAsia" w:ascii="宋体" w:hAnsi="宋体" w:eastAsia="宋体" w:cs="宋体"/>
          <w:b/>
          <w:sz w:val="52"/>
          <w:highlight w:val="none"/>
          <w:u w:val="single"/>
        </w:rPr>
        <w:t xml:space="preserve">       商务标部分</w:t>
      </w:r>
      <w:bookmarkEnd w:id="1872"/>
      <w:r>
        <w:rPr>
          <w:rFonts w:hint="eastAsia" w:ascii="宋体" w:hAnsi="宋体" w:eastAsia="宋体" w:cs="宋体"/>
          <w:b/>
          <w:sz w:val="52"/>
          <w:highlight w:val="none"/>
          <w:u w:val="single"/>
        </w:rPr>
        <w:t xml:space="preserve">       </w:t>
      </w:r>
    </w:p>
    <w:p>
      <w:pPr>
        <w:adjustRightInd w:val="0"/>
        <w:snapToGrid w:val="0"/>
        <w:spacing w:line="360" w:lineRule="auto"/>
        <w:rPr>
          <w:rFonts w:hint="eastAsia" w:ascii="宋体" w:hAnsi="宋体" w:eastAsia="宋体" w:cs="宋体"/>
          <w:b/>
          <w:sz w:val="32"/>
          <w:highlight w:val="none"/>
        </w:rPr>
      </w:pPr>
    </w:p>
    <w:p>
      <w:pPr>
        <w:adjustRightInd w:val="0"/>
        <w:snapToGrid w:val="0"/>
        <w:spacing w:line="360" w:lineRule="auto"/>
        <w:rPr>
          <w:rFonts w:hint="eastAsia" w:ascii="宋体" w:hAnsi="宋体" w:eastAsia="宋体" w:cs="宋体"/>
          <w:b/>
          <w:sz w:val="32"/>
          <w:highlight w:val="none"/>
        </w:rPr>
      </w:pPr>
      <w:r>
        <w:rPr>
          <w:rFonts w:hint="eastAsia" w:ascii="宋体" w:hAnsi="宋体" w:eastAsia="宋体" w:cs="宋体"/>
          <w:b/>
          <w:sz w:val="32"/>
          <w:highlight w:val="none"/>
        </w:rPr>
        <w:t>投标人：</w:t>
      </w:r>
      <w:r>
        <w:rPr>
          <w:rFonts w:hint="eastAsia" w:ascii="宋体" w:hAnsi="宋体" w:eastAsia="宋体" w:cs="宋体"/>
          <w:b/>
          <w:sz w:val="32"/>
          <w:highlight w:val="none"/>
          <w:u w:val="single"/>
        </w:rPr>
        <w:t>_____________________________________</w:t>
      </w:r>
    </w:p>
    <w:p>
      <w:pPr>
        <w:adjustRightInd w:val="0"/>
        <w:snapToGrid w:val="0"/>
        <w:spacing w:line="360" w:lineRule="auto"/>
        <w:rPr>
          <w:rFonts w:hint="eastAsia" w:ascii="宋体" w:hAnsi="宋体" w:eastAsia="宋体" w:cs="宋体"/>
          <w:b/>
          <w:sz w:val="32"/>
          <w:highlight w:val="none"/>
        </w:rPr>
      </w:pPr>
    </w:p>
    <w:p>
      <w:pPr>
        <w:adjustRightInd w:val="0"/>
        <w:snapToGrid w:val="0"/>
        <w:spacing w:line="360" w:lineRule="auto"/>
        <w:rPr>
          <w:highlight w:val="none"/>
        </w:rPr>
      </w:pPr>
      <w:r>
        <w:rPr>
          <w:rFonts w:hint="eastAsia" w:ascii="宋体" w:hAnsi="宋体" w:eastAsia="宋体" w:cs="宋体"/>
          <w:b/>
          <w:sz w:val="32"/>
          <w:highlight w:val="none"/>
        </w:rPr>
        <w:t>日  期：</w:t>
      </w:r>
      <w:r>
        <w:rPr>
          <w:rFonts w:hint="eastAsia" w:ascii="宋体" w:hAnsi="宋体" w:eastAsia="宋体" w:cs="宋体"/>
          <w:b/>
          <w:sz w:val="32"/>
          <w:highlight w:val="none"/>
          <w:u w:val="single"/>
        </w:rPr>
        <w:t>____________</w:t>
      </w:r>
      <w:r>
        <w:rPr>
          <w:rFonts w:hint="eastAsia" w:ascii="宋体" w:hAnsi="宋体" w:eastAsia="宋体" w:cs="宋体"/>
          <w:b/>
          <w:sz w:val="32"/>
          <w:highlight w:val="none"/>
        </w:rPr>
        <w:t>年</w:t>
      </w:r>
      <w:r>
        <w:rPr>
          <w:rFonts w:hint="eastAsia" w:ascii="宋体" w:hAnsi="宋体" w:eastAsia="宋体" w:cs="宋体"/>
          <w:b/>
          <w:sz w:val="32"/>
          <w:highlight w:val="none"/>
          <w:u w:val="single"/>
        </w:rPr>
        <w:t>______</w:t>
      </w:r>
      <w:r>
        <w:rPr>
          <w:rFonts w:hint="eastAsia" w:ascii="宋体" w:hAnsi="宋体" w:eastAsia="宋体" w:cs="宋体"/>
          <w:b/>
          <w:sz w:val="32"/>
          <w:highlight w:val="none"/>
        </w:rPr>
        <w:t>月</w:t>
      </w:r>
      <w:r>
        <w:rPr>
          <w:rFonts w:hint="eastAsia" w:ascii="宋体" w:hAnsi="宋体" w:eastAsia="宋体" w:cs="宋体"/>
          <w:b/>
          <w:sz w:val="32"/>
          <w:highlight w:val="none"/>
          <w:u w:val="single"/>
        </w:rPr>
        <w:t>______</w:t>
      </w:r>
      <w:r>
        <w:rPr>
          <w:rFonts w:hint="eastAsia" w:ascii="宋体" w:hAnsi="宋体" w:eastAsia="宋体" w:cs="宋体"/>
          <w:b/>
          <w:sz w:val="32"/>
          <w:highlight w:val="none"/>
        </w:rPr>
        <w:t>日</w:t>
      </w:r>
      <w:r>
        <w:rPr>
          <w:highlight w:val="none"/>
        </w:rPr>
        <w:br w:type="page"/>
      </w:r>
    </w:p>
    <w:p>
      <w:pPr>
        <w:adjustRightInd w:val="0"/>
        <w:snapToGrid w:val="0"/>
        <w:spacing w:line="360" w:lineRule="auto"/>
        <w:jc w:val="center"/>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rPr>
        <w:t>一、工程量清单报价表的说明</w:t>
      </w:r>
    </w:p>
    <w:p>
      <w:pPr>
        <w:adjustRightInd w:val="0"/>
        <w:snapToGrid w:val="0"/>
        <w:spacing w:line="360" w:lineRule="auto"/>
        <w:ind w:firstLine="420" w:firstLineChars="200"/>
        <w:rPr>
          <w:highlight w:val="none"/>
        </w:rPr>
      </w:pP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1.本投标报价是依据本工程招标文件的投标须知、工程量清单、合同条件、工程建设标准及技术要求和图纸等文件进行编制的。</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2.“工程量清单报价表”包括以下几个部分：</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(1)投标总价；</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(2)工程项目投标价汇总表；</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(3)单项工程投标价汇总表；</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(4)单位工程投标价汇总表；</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(5)分部分项工程清单与计价表；</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(6)措施项目清单与计价汇总表；</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(7)措施项目清单与计价表（一）；</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(8)安全文明施工措施费详细清单与计价表</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(9)其他项目清单与计价汇总表；</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(10)材料设备暂估价计价表；</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(11)计日工表</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(12)总承包服务费计价表；</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(13)发包人供应材料设备明细表；</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(14)规费税金项目清单与计价表；</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(15)暂列金额明细表；</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(16)工程建设其他费计价表；</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(17)设备及工器具购置费计价表。</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3.本投标报价是按照招标文件中要求采用的工程量计算规则，根据本企业自身的情况、拟订的施工组织设计和施工方案，分析市场情况完成的，该报价不低于本企业完成该招标工程的成本。</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4.对“分部分项工程量清单计价表”的说明：</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⑴.我方确认“分部分项工程量清单”中所列的工程量系招标人的估算，是临时的，结算时，应以由发、承包双方在合同中约定应予计量且实际完成的工程量确定。</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⑵.该计价表中所填入的综合单价和合价已包括人工费、材料费、施工机械使用费和企业管理费与利润，以及一定范围内的风险费用。招标人计划自行采购的材料设备单价未计入综合单价报价中。</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⑶.该计价表中没有填写综合单价和合价或者价格为零的项目，其费用已包括在工程量清单的其他综合单价或合价之中，备注中已有明确说明。</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□⑷.根据招标人的要求，我方提供了“工程量清单综合单价分析表”。</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5.对“措施项目清单计价表”的说明：</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⑴.该计价表是根据招标人提供的“措施项目清单”填报的，我方根据自身的情况对有关项目进行了调整，包含了完成该招标工程所需发生的全部措施费用。</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⑵.该计价表中以“项”为单位的措施项目，我方填报的价格已包括除规费、税金外的全部费用。</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□⑶.根据招标人的要求，我方提供了“措施项目清单与计价表（二）”。</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6.对“其他项目清单计价表”的说明：</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⑴.该计价表中材料设备暂估价根据招标人提供的“材料设备暂估价表”计算汇总填写。表中所列材料设备的暂估单价已计入相应清单项目综合单价报价中，结算时，按发、承包双方最终确认的价格调整价差，价差部分不计利润。</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⑵.该计价表中计日工是根据招标人提出的“计日工表”的要求填报单价，结算时，按合同约定的方式确认工程量。</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⑶．该计价表中总承包服务费是根据招标人提出的内容和要求，以招标人提供“总承包服务费表”中“项目价值”为基数自主确定费率计算的。</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7.我方接受招标人在合同条款和合同格式部分提出的要约，特别是对工程变更价款、暂列金额、专业工程暂估价、工程建设其他费和设备及工器具购置费的确定和结算方式。</w:t>
      </w:r>
    </w:p>
    <w:p>
      <w:pPr>
        <w:adjustRightInd w:val="0"/>
        <w:snapToGrid w:val="0"/>
        <w:spacing w:line="360" w:lineRule="auto"/>
        <w:ind w:firstLine="420" w:firstLineChars="200"/>
        <w:rPr>
          <w:highlight w:val="none"/>
        </w:rPr>
      </w:pPr>
      <w:r>
        <w:rPr>
          <w:rFonts w:hint="eastAsia" w:ascii="宋体" w:hAnsi="宋体" w:eastAsia="宋体" w:cs="宋体"/>
          <w:szCs w:val="21"/>
          <w:highlight w:val="none"/>
        </w:rPr>
        <w:t>8.其他。</w:t>
      </w:r>
      <w:r>
        <w:rPr>
          <w:rFonts w:hint="eastAsia" w:ascii="宋体" w:hAnsi="宋体" w:eastAsia="宋体" w:cs="宋体"/>
          <w:highlight w:val="none"/>
        </w:rPr>
        <w:br w:type="page"/>
      </w:r>
    </w:p>
    <w:p>
      <w:pPr>
        <w:adjustRightInd w:val="0"/>
        <w:snapToGrid w:val="0"/>
        <w:spacing w:line="360" w:lineRule="auto"/>
        <w:jc w:val="center"/>
        <w:rPr>
          <w:highlight w:val="none"/>
        </w:rPr>
      </w:pPr>
    </w:p>
    <w:p>
      <w:pPr>
        <w:adjustRightInd w:val="0"/>
        <w:snapToGrid w:val="0"/>
        <w:spacing w:line="360" w:lineRule="auto"/>
        <w:jc w:val="center"/>
        <w:rPr>
          <w:highlight w:val="none"/>
        </w:rPr>
      </w:pPr>
    </w:p>
    <w:p>
      <w:pPr>
        <w:adjustRightInd w:val="0"/>
        <w:snapToGrid w:val="0"/>
        <w:spacing w:line="360" w:lineRule="auto"/>
        <w:jc w:val="center"/>
        <w:rPr>
          <w:rFonts w:hint="eastAsia" w:ascii="黑体" w:hAnsi="黑体" w:eastAsia="黑体" w:cs="黑体"/>
          <w:b/>
          <w:sz w:val="32"/>
          <w:szCs w:val="32"/>
          <w:highlight w:val="none"/>
        </w:rPr>
      </w:pPr>
      <w:r>
        <w:rPr>
          <w:rFonts w:hint="eastAsia" w:ascii="黑体" w:hAnsi="黑体" w:eastAsia="黑体" w:cs="黑体"/>
          <w:b/>
          <w:sz w:val="32"/>
          <w:szCs w:val="32"/>
          <w:highlight w:val="none"/>
        </w:rPr>
        <w:t>二、商务标部分</w:t>
      </w:r>
    </w:p>
    <w:p>
      <w:pPr>
        <w:adjustRightInd w:val="0"/>
        <w:snapToGrid w:val="0"/>
        <w:spacing w:line="360" w:lineRule="auto"/>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（格式同计算机编制软件）</w:t>
      </w:r>
    </w:p>
    <w:p>
      <w:pPr>
        <w:adjustRightInd w:val="0"/>
        <w:snapToGrid w:val="0"/>
        <w:spacing w:line="360" w:lineRule="auto"/>
        <w:jc w:val="center"/>
        <w:rPr>
          <w:rFonts w:hint="eastAsia" w:ascii="黑体" w:hAnsi="黑体" w:eastAsia="黑体" w:cs="黑体"/>
          <w:sz w:val="32"/>
          <w:szCs w:val="32"/>
          <w:highlight w:val="none"/>
        </w:rPr>
      </w:pPr>
    </w:p>
    <w:p>
      <w:pPr>
        <w:adjustRightInd w:val="0"/>
        <w:snapToGrid w:val="0"/>
        <w:spacing w:line="360" w:lineRule="auto"/>
        <w:jc w:val="center"/>
        <w:rPr>
          <w:rFonts w:hint="eastAsia" w:ascii="黑体" w:hAnsi="黑体" w:eastAsia="黑体" w:cs="黑体"/>
          <w:b/>
          <w:sz w:val="32"/>
          <w:szCs w:val="32"/>
          <w:highlight w:val="none"/>
        </w:rPr>
      </w:pPr>
      <w:r>
        <w:rPr>
          <w:rFonts w:hint="eastAsia" w:ascii="黑体" w:hAnsi="黑体" w:eastAsia="黑体" w:cs="黑体"/>
          <w:b/>
          <w:sz w:val="32"/>
          <w:szCs w:val="32"/>
          <w:highlight w:val="none"/>
        </w:rPr>
        <w:t>三、施工投标承诺函</w:t>
      </w:r>
    </w:p>
    <w:p>
      <w:pPr>
        <w:rPr>
          <w:highlight w:val="none"/>
        </w:rPr>
      </w:pPr>
      <w:r>
        <w:rPr>
          <w:highlight w:val="none"/>
        </w:rPr>
        <w:br w:type="page"/>
      </w:r>
    </w:p>
    <w:p>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提示：本承诺函明确除标明由</w:t>
      </w:r>
      <w:r>
        <w:rPr>
          <w:rFonts w:hint="eastAsia" w:ascii="宋体" w:hAnsi="宋体" w:eastAsia="宋体" w:cs="宋体"/>
          <w:bCs/>
          <w:szCs w:val="21"/>
          <w:highlight w:val="none"/>
        </w:rPr>
        <w:t>“投标人填写”外，其余空格全部应由招标人填写完整。一旦投标人中标后，该承诺函将提交质监、安监、造价、审计等部门作为后续监管的依据。</w:t>
      </w:r>
    </w:p>
    <w:p>
      <w:pPr>
        <w:adjustRightInd w:val="0"/>
        <w:snapToGrid w:val="0"/>
        <w:spacing w:line="360" w:lineRule="auto"/>
        <w:jc w:val="center"/>
        <w:rPr>
          <w:rFonts w:hint="eastAsia" w:ascii="宋体" w:hAnsi="宋体" w:eastAsia="宋体" w:cs="宋体"/>
          <w:highlight w:val="none"/>
        </w:rPr>
      </w:pPr>
    </w:p>
    <w:p>
      <w:pPr>
        <w:adjustRightInd w:val="0"/>
        <w:snapToGrid w:val="0"/>
        <w:spacing w:line="360" w:lineRule="auto"/>
        <w:jc w:val="center"/>
        <w:rPr>
          <w:rFonts w:hint="eastAsia" w:ascii="宋体" w:hAnsi="宋体" w:eastAsia="宋体" w:cs="宋体"/>
          <w:sz w:val="44"/>
          <w:szCs w:val="44"/>
          <w:highlight w:val="yellow"/>
        </w:rPr>
      </w:pPr>
      <w:r>
        <w:rPr>
          <w:rFonts w:hint="eastAsia" w:ascii="宋体" w:hAnsi="宋体" w:eastAsia="宋体" w:cs="宋体"/>
          <w:sz w:val="44"/>
          <w:szCs w:val="44"/>
          <w:highlight w:val="yellow"/>
        </w:rPr>
        <w:t>施工投标承诺函</w:t>
      </w:r>
    </w:p>
    <w:p>
      <w:pPr>
        <w:adjustRightInd w:val="0"/>
        <w:snapToGrid w:val="0"/>
        <w:spacing w:line="360" w:lineRule="auto"/>
        <w:rPr>
          <w:rFonts w:hint="eastAsia" w:ascii="宋体" w:hAnsi="宋体" w:eastAsia="宋体" w:cs="宋体"/>
          <w:bCs/>
          <w:szCs w:val="21"/>
          <w:highlight w:val="none"/>
        </w:rPr>
      </w:pPr>
      <w:r>
        <w:rPr>
          <w:rFonts w:hint="eastAsia" w:ascii="宋体" w:hAnsi="宋体" w:eastAsia="宋体" w:cs="宋体"/>
          <w:bCs/>
          <w:szCs w:val="21"/>
          <w:highlight w:val="none"/>
        </w:rPr>
        <w:t>致招标人：</w:t>
      </w:r>
      <w:r>
        <w:rPr>
          <w:rFonts w:hint="eastAsia" w:ascii="宋体" w:hAnsi="宋体" w:eastAsia="宋体" w:cs="宋体"/>
          <w:bCs/>
          <w:szCs w:val="21"/>
          <w:highlight w:val="none"/>
          <w:u w:val="single"/>
        </w:rPr>
        <w:t>____________________</w:t>
      </w:r>
    </w:p>
    <w:p>
      <w:pPr>
        <w:adjustRightInd w:val="0"/>
        <w:snapToGrid w:val="0"/>
        <w:spacing w:line="360" w:lineRule="auto"/>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为了确保本工程招标投标工作顺利进行，同时保证优质高效、文明施工，我方将严格执行建设工程管理的法律法规，并完全接受</w:t>
      </w:r>
      <w:r>
        <w:rPr>
          <w:rFonts w:hint="eastAsia" w:ascii="宋体" w:hAnsi="宋体" w:eastAsia="宋体" w:cs="宋体"/>
          <w:bCs/>
          <w:szCs w:val="21"/>
          <w:highlight w:val="none"/>
          <w:u w:val="single"/>
        </w:rPr>
        <w:t>_____________</w:t>
      </w:r>
      <w:r>
        <w:rPr>
          <w:rFonts w:hint="eastAsia" w:ascii="宋体" w:hAnsi="宋体" w:eastAsia="宋体" w:cs="宋体"/>
          <w:bCs/>
          <w:szCs w:val="21"/>
          <w:highlight w:val="none"/>
        </w:rPr>
        <w:t>工程的招标文件所有内容，为此作出如下承诺：</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bCs/>
          <w:szCs w:val="21"/>
          <w:highlight w:val="none"/>
        </w:rPr>
        <w:t>1、根</w:t>
      </w:r>
      <w:r>
        <w:rPr>
          <w:rFonts w:hint="eastAsia" w:ascii="宋体" w:hAnsi="宋体" w:eastAsia="宋体" w:cs="宋体"/>
          <w:szCs w:val="21"/>
          <w:highlight w:val="none"/>
        </w:rPr>
        <w:t>据企业自身情况，理性报价，不会以低于成本的报价竞标，并愿以投标总报价</w:t>
      </w:r>
    </w:p>
    <w:p>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u w:val="single"/>
        </w:rPr>
        <w:t>________</w:t>
      </w:r>
      <w:r>
        <w:rPr>
          <w:rFonts w:hint="eastAsia" w:ascii="宋体" w:hAnsi="宋体" w:eastAsia="宋体" w:cs="宋体"/>
          <w:szCs w:val="21"/>
          <w:highlight w:val="none"/>
        </w:rPr>
        <w:t>万元，按招标文件要求承包本工程的施工、竣工并修补其任何缺陷。否则，我方愿意承担任何风险。（投标人填写）</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bCs/>
          <w:szCs w:val="21"/>
          <w:highlight w:val="none"/>
        </w:rPr>
        <w:t>2、</w:t>
      </w:r>
      <w:r>
        <w:rPr>
          <w:rFonts w:hint="eastAsia" w:ascii="宋体" w:hAnsi="宋体" w:eastAsia="宋体" w:cs="宋体"/>
          <w:szCs w:val="21"/>
          <w:highlight w:val="none"/>
        </w:rPr>
        <w:t>我方同意所递交的投标文件在投标须知规定的投标有效期内有效，在此期间内我方的投标有可能中标，我方将受此约束。如果在投标有效期内撤回投标或放弃中标资格，我方的投标担保将全部被没收，给贵方造成的损失超过我方投标担保金额的，贵方还有权要求我方对超过部分进行赔偿。</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3、我方保证所提交的保证金是从我公司基本账户汇出，银行保函是由我公司基本账户开户银行所在网点或其上级银行机构出具</w:t>
      </w:r>
      <w:r>
        <w:rPr>
          <w:rFonts w:hint="eastAsia" w:ascii="宋体" w:hAnsi="宋体" w:eastAsia="宋体" w:cs="宋体"/>
          <w:szCs w:val="21"/>
          <w:highlight w:val="none"/>
          <w:lang w:eastAsia="zh-CN"/>
        </w:rPr>
        <w:t>，保证保险的保费是通过我公司基本账户支付</w:t>
      </w:r>
      <w:r>
        <w:rPr>
          <w:rFonts w:hint="eastAsia" w:ascii="宋体" w:hAnsi="宋体" w:eastAsia="宋体" w:cs="宋体"/>
          <w:szCs w:val="21"/>
          <w:highlight w:val="none"/>
        </w:rPr>
        <w:t>。否则，招标人有权取消我公司的中标资格或单方面终止合同，因此造成的责任由我公司承担。</w:t>
      </w:r>
    </w:p>
    <w:p>
      <w:pPr>
        <w:adjustRightInd w:val="0"/>
        <w:snapToGrid w:val="0"/>
        <w:spacing w:line="360" w:lineRule="auto"/>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4、我方完全理解和接受招标文件第39条的规定，并承诺一旦我方的投标出现该条列举的严重违规或涉嫌串通投标的情形而被评标委员会废标的，将自觉接受贵方暂停或者取消今后我方参加贵方其他任何工程投标资格的处理。</w:t>
      </w:r>
    </w:p>
    <w:p>
      <w:pPr>
        <w:adjustRightInd w:val="0"/>
        <w:snapToGrid w:val="0"/>
        <w:spacing w:line="360" w:lineRule="auto"/>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5、一旦我方中标，将保证在收到中标通知书后</w:t>
      </w:r>
      <w:r>
        <w:rPr>
          <w:rFonts w:hint="eastAsia" w:ascii="宋体" w:hAnsi="宋体" w:eastAsia="宋体" w:cs="宋体"/>
          <w:bCs/>
          <w:szCs w:val="21"/>
          <w:highlight w:val="none"/>
          <w:u w:val="single"/>
        </w:rPr>
        <w:t>_______</w:t>
      </w:r>
      <w:r>
        <w:rPr>
          <w:rFonts w:hint="eastAsia" w:ascii="宋体" w:hAnsi="宋体" w:eastAsia="宋体" w:cs="宋体"/>
          <w:bCs/>
          <w:szCs w:val="21"/>
          <w:highlight w:val="none"/>
        </w:rPr>
        <w:t>日内，与贵方按招标文件、中标通知书中的内容签定施工合同，否则，视为我方自愿放弃中标资格。</w:t>
      </w:r>
    </w:p>
    <w:p>
      <w:pPr>
        <w:adjustRightInd w:val="0"/>
        <w:snapToGrid w:val="0"/>
        <w:spacing w:line="360" w:lineRule="auto"/>
        <w:ind w:firstLine="420" w:firstLineChars="200"/>
        <w:rPr>
          <w:rFonts w:hint="eastAsia" w:ascii="宋体" w:hAnsi="宋体" w:eastAsia="宋体" w:cs="宋体"/>
          <w:bCs/>
          <w:szCs w:val="21"/>
          <w:highlight w:val="none"/>
        </w:rPr>
      </w:pPr>
      <w:r>
        <w:rPr>
          <w:rFonts w:hint="eastAsia" w:ascii="宋体" w:hAnsi="宋体" w:eastAsia="宋体" w:cs="宋体"/>
          <w:szCs w:val="21"/>
          <w:highlight w:val="none"/>
        </w:rPr>
        <w:t>6、除非另外达成协议并生效，贵方的中标通知书和本投标文件将成为约束双方的合同文件的组成部分。</w:t>
      </w:r>
    </w:p>
    <w:p>
      <w:pPr>
        <w:adjustRightInd w:val="0"/>
        <w:snapToGrid w:val="0"/>
        <w:spacing w:line="360" w:lineRule="auto"/>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7、按规定完成施工合同承包范围</w:t>
      </w:r>
      <w:r>
        <w:rPr>
          <w:rFonts w:hint="eastAsia" w:ascii="宋体" w:hAnsi="宋体" w:eastAsia="宋体" w:cs="宋体"/>
          <w:bCs/>
          <w:szCs w:val="21"/>
          <w:highlight w:val="none"/>
          <w:u w:val="single"/>
        </w:rPr>
        <w:t>___________________________________________</w:t>
      </w:r>
    </w:p>
    <w:p>
      <w:pPr>
        <w:adjustRightInd w:val="0"/>
        <w:snapToGrid w:val="0"/>
        <w:spacing w:line="360" w:lineRule="auto"/>
        <w:rPr>
          <w:rFonts w:hint="eastAsia" w:ascii="宋体" w:hAnsi="宋体" w:eastAsia="宋体" w:cs="宋体"/>
          <w:bCs/>
          <w:szCs w:val="21"/>
          <w:highlight w:val="none"/>
        </w:rPr>
      </w:pPr>
      <w:r>
        <w:rPr>
          <w:rFonts w:hint="eastAsia" w:ascii="宋体" w:hAnsi="宋体" w:eastAsia="宋体" w:cs="宋体"/>
          <w:bCs/>
          <w:szCs w:val="21"/>
          <w:highlight w:val="none"/>
          <w:u w:val="single"/>
        </w:rPr>
        <w:t>___________________________________________________________________________</w:t>
      </w:r>
    </w:p>
    <w:p>
      <w:pPr>
        <w:adjustRightInd w:val="0"/>
        <w:snapToGrid w:val="0"/>
        <w:spacing w:line="360" w:lineRule="auto"/>
        <w:rPr>
          <w:rFonts w:hint="eastAsia" w:ascii="宋体" w:hAnsi="宋体" w:eastAsia="宋体" w:cs="宋体"/>
          <w:bCs/>
          <w:szCs w:val="21"/>
          <w:highlight w:val="none"/>
        </w:rPr>
      </w:pPr>
      <w:r>
        <w:rPr>
          <w:rFonts w:hint="eastAsia" w:ascii="宋体" w:hAnsi="宋体" w:eastAsia="宋体" w:cs="宋体"/>
          <w:bCs/>
          <w:szCs w:val="21"/>
          <w:highlight w:val="none"/>
        </w:rPr>
        <w:t>（与招标范围一致）的全部内容，质量达到合格标准的要求，质量目标为</w:t>
      </w:r>
      <w:r>
        <w:rPr>
          <w:rFonts w:hint="eastAsia" w:ascii="宋体" w:hAnsi="宋体" w:eastAsia="宋体" w:cs="宋体"/>
          <w:bCs/>
          <w:szCs w:val="21"/>
          <w:highlight w:val="none"/>
          <w:u w:val="single"/>
        </w:rPr>
        <w:t>______</w:t>
      </w:r>
      <w:r>
        <w:rPr>
          <w:rFonts w:hint="eastAsia" w:ascii="宋体" w:hAnsi="宋体" w:eastAsia="宋体" w:cs="宋体"/>
          <w:bCs/>
          <w:szCs w:val="21"/>
          <w:highlight w:val="none"/>
        </w:rPr>
        <w:t>。</w:t>
      </w:r>
    </w:p>
    <w:p>
      <w:pPr>
        <w:adjustRightInd w:val="0"/>
        <w:snapToGrid w:val="0"/>
        <w:spacing w:line="360" w:lineRule="auto"/>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8、建立完善的质量安全保证体系，配备与投标文件相一致且满足工程建设规模、技术要求、安全要求的项目管理机构和</w:t>
      </w:r>
      <w:r>
        <w:rPr>
          <w:rFonts w:hint="eastAsia" w:ascii="宋体" w:hAnsi="宋体" w:eastAsia="宋体" w:cs="宋体"/>
          <w:bCs/>
          <w:szCs w:val="21"/>
          <w:highlight w:val="none"/>
          <w:lang w:val="en-US" w:eastAsia="zh-CN"/>
        </w:rPr>
        <w:t>施工</w:t>
      </w:r>
      <w:r>
        <w:rPr>
          <w:rFonts w:hint="eastAsia" w:ascii="宋体" w:hAnsi="宋体" w:eastAsia="宋体" w:cs="宋体"/>
          <w:bCs/>
          <w:szCs w:val="21"/>
          <w:highlight w:val="none"/>
        </w:rPr>
        <w:t>管理人员，并确保常驻现场。我方在本工程中配备的项目管理机构和</w:t>
      </w:r>
      <w:r>
        <w:rPr>
          <w:rFonts w:hint="eastAsia" w:ascii="宋体" w:hAnsi="宋体" w:eastAsia="宋体" w:cs="宋体"/>
          <w:bCs/>
          <w:szCs w:val="21"/>
          <w:highlight w:val="none"/>
          <w:lang w:val="en-US" w:eastAsia="zh-CN"/>
        </w:rPr>
        <w:t>施工</w:t>
      </w:r>
      <w:r>
        <w:rPr>
          <w:rFonts w:hint="eastAsia" w:ascii="宋体" w:hAnsi="宋体" w:eastAsia="宋体" w:cs="宋体"/>
          <w:bCs/>
          <w:szCs w:val="21"/>
          <w:highlight w:val="none"/>
        </w:rPr>
        <w:t>管理人员详见《项目管理</w:t>
      </w:r>
      <w:r>
        <w:rPr>
          <w:rFonts w:hint="eastAsia" w:ascii="宋体" w:hAnsi="宋体" w:eastAsia="宋体" w:cs="宋体"/>
          <w:bCs/>
          <w:szCs w:val="21"/>
          <w:highlight w:val="none"/>
          <w:lang w:val="en-US" w:eastAsia="zh-CN"/>
        </w:rPr>
        <w:t>机构</w:t>
      </w:r>
      <w:r>
        <w:rPr>
          <w:rFonts w:hint="eastAsia" w:ascii="宋体" w:hAnsi="宋体" w:eastAsia="宋体" w:cs="宋体"/>
          <w:bCs/>
          <w:szCs w:val="21"/>
          <w:highlight w:val="none"/>
        </w:rPr>
        <w:t>配备情况表》（投标人填写）。撤换上述人员前，必须征得贵方及建设行政主管部门批准同意。否则，招标人有权取消我公司的中标资格或单方面终止合同，由此造成的违约责任由我公司承担。</w:t>
      </w:r>
    </w:p>
    <w:p>
      <w:pPr>
        <w:adjustRightInd w:val="0"/>
        <w:snapToGrid w:val="0"/>
        <w:spacing w:line="360" w:lineRule="auto"/>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lang w:val="en-US" w:eastAsia="zh-CN"/>
        </w:rPr>
        <w:t>9</w:t>
      </w:r>
      <w:r>
        <w:rPr>
          <w:rFonts w:hint="eastAsia" w:ascii="宋体" w:hAnsi="宋体" w:eastAsia="宋体" w:cs="宋体"/>
          <w:bCs/>
          <w:szCs w:val="21"/>
          <w:highlight w:val="none"/>
        </w:rPr>
        <w:t>、我方在本工程中投入的主要机械设备详见附件《主要机械设备表》。所使用的工程机械、装卸机械满足国家现阶段非道路移动机械用柴油机排放标准。（投标人填写）</w:t>
      </w:r>
    </w:p>
    <w:p>
      <w:pPr>
        <w:adjustRightInd w:val="0"/>
        <w:snapToGrid w:val="0"/>
        <w:spacing w:line="360" w:lineRule="auto"/>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lang w:val="en-US" w:eastAsia="zh-CN"/>
        </w:rPr>
        <w:t>10</w:t>
      </w:r>
      <w:r>
        <w:rPr>
          <w:rFonts w:hint="eastAsia" w:ascii="宋体" w:hAnsi="宋体" w:eastAsia="宋体" w:cs="宋体"/>
          <w:bCs/>
          <w:szCs w:val="21"/>
          <w:highlight w:val="none"/>
        </w:rPr>
        <w:t>、</w:t>
      </w:r>
      <w:r>
        <w:rPr>
          <w:rFonts w:hint="eastAsia" w:ascii="宋体" w:hAnsi="宋体" w:eastAsia="宋体" w:cs="宋体"/>
          <w:bCs/>
          <w:szCs w:val="21"/>
          <w:highlight w:val="none"/>
          <w:lang w:val="en-US" w:eastAsia="zh-CN"/>
        </w:rPr>
        <w:t>我方</w:t>
      </w:r>
      <w:r>
        <w:rPr>
          <w:rFonts w:hint="eastAsia" w:ascii="宋体" w:hAnsi="宋体" w:eastAsia="宋体" w:cs="宋体"/>
          <w:bCs/>
          <w:szCs w:val="21"/>
          <w:highlight w:val="none"/>
        </w:rPr>
        <w:t>保证在收到中标通知书后</w:t>
      </w:r>
      <w:r>
        <w:rPr>
          <w:rFonts w:hint="eastAsia" w:ascii="宋体" w:hAnsi="宋体" w:eastAsia="宋体" w:cs="宋体"/>
          <w:bCs/>
          <w:szCs w:val="21"/>
          <w:highlight w:val="none"/>
          <w:u w:val="single"/>
        </w:rPr>
        <w:t>____</w:t>
      </w:r>
      <w:r>
        <w:rPr>
          <w:rFonts w:hint="eastAsia" w:ascii="宋体" w:hAnsi="宋体" w:eastAsia="宋体" w:cs="宋体"/>
          <w:bCs/>
          <w:szCs w:val="21"/>
          <w:highlight w:val="none"/>
        </w:rPr>
        <w:t>日内，递交经贵方认可的履约担保，履约担保金额为</w:t>
      </w:r>
      <w:r>
        <w:rPr>
          <w:rFonts w:hint="eastAsia" w:ascii="宋体" w:hAnsi="宋体" w:eastAsia="宋体" w:cs="宋体"/>
          <w:bCs/>
          <w:szCs w:val="21"/>
          <w:highlight w:val="none"/>
          <w:u w:val="single"/>
        </w:rPr>
        <w:t>________</w:t>
      </w:r>
      <w:r>
        <w:rPr>
          <w:rFonts w:hint="eastAsia" w:ascii="宋体" w:hAnsi="宋体" w:eastAsia="宋体" w:cs="宋体"/>
          <w:bCs/>
          <w:szCs w:val="21"/>
          <w:highlight w:val="none"/>
        </w:rPr>
        <w:t>万元，否则，贵方可取消我方中标资格。</w:t>
      </w:r>
    </w:p>
    <w:p>
      <w:pPr>
        <w:adjustRightInd w:val="0"/>
        <w:snapToGrid w:val="0"/>
        <w:spacing w:line="360" w:lineRule="auto"/>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lang w:val="en-US" w:eastAsia="zh-CN"/>
        </w:rPr>
        <w:t>11</w:t>
      </w:r>
      <w:r>
        <w:rPr>
          <w:rFonts w:hint="eastAsia" w:ascii="宋体" w:hAnsi="宋体" w:eastAsia="宋体" w:cs="宋体"/>
          <w:bCs/>
          <w:szCs w:val="21"/>
          <w:highlight w:val="none"/>
        </w:rPr>
        <w:t>、如果本工程不要求编制技术标书的，我方保证在中标后</w:t>
      </w:r>
      <w:r>
        <w:rPr>
          <w:rFonts w:hint="eastAsia" w:ascii="宋体" w:hAnsi="宋体" w:eastAsia="宋体" w:cs="宋体"/>
          <w:bCs/>
          <w:szCs w:val="21"/>
          <w:highlight w:val="none"/>
          <w:u w:val="single"/>
        </w:rPr>
        <w:t>_____</w:t>
      </w:r>
      <w:r>
        <w:rPr>
          <w:rFonts w:hint="eastAsia" w:ascii="宋体" w:hAnsi="宋体" w:eastAsia="宋体" w:cs="宋体"/>
          <w:bCs/>
          <w:szCs w:val="21"/>
          <w:highlight w:val="none"/>
        </w:rPr>
        <w:t>日内，完成本工程实施的施工组织设计编制，并得到贵方的认可。</w:t>
      </w:r>
    </w:p>
    <w:p>
      <w:pPr>
        <w:adjustRightInd w:val="0"/>
        <w:snapToGrid w:val="0"/>
        <w:spacing w:line="360" w:lineRule="auto"/>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lang w:val="en-US" w:eastAsia="zh-CN"/>
        </w:rPr>
        <w:t>12</w:t>
      </w:r>
      <w:r>
        <w:rPr>
          <w:rFonts w:hint="eastAsia" w:ascii="宋体" w:hAnsi="宋体" w:eastAsia="宋体" w:cs="宋体"/>
          <w:bCs/>
          <w:szCs w:val="21"/>
          <w:highlight w:val="none"/>
        </w:rPr>
        <w:t>、为确保施工安全，我方保证在签定施工合同</w:t>
      </w:r>
      <w:r>
        <w:rPr>
          <w:rFonts w:hint="eastAsia" w:ascii="宋体" w:hAnsi="宋体" w:eastAsia="宋体" w:cs="宋体"/>
          <w:bCs/>
          <w:szCs w:val="21"/>
          <w:highlight w:val="none"/>
          <w:u w:val="single"/>
        </w:rPr>
        <w:t>___</w:t>
      </w:r>
      <w:r>
        <w:rPr>
          <w:rFonts w:hint="eastAsia" w:ascii="宋体" w:hAnsi="宋体" w:eastAsia="宋体" w:cs="宋体"/>
          <w:bCs/>
          <w:szCs w:val="21"/>
          <w:highlight w:val="none"/>
        </w:rPr>
        <w:t>日后，提交施工作业范围内的市政基础设施管线防护措施，按照《深圳市建设工程安全文明施工标准》，落实安全防护、环境保护、安全培训和信息化管理等要求，安全文明施工措施费专款专用。</w:t>
      </w:r>
    </w:p>
    <w:p>
      <w:pPr>
        <w:adjustRightInd w:val="0"/>
        <w:snapToGrid w:val="0"/>
        <w:spacing w:line="360" w:lineRule="auto"/>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lang w:val="en-US" w:eastAsia="zh-CN"/>
        </w:rPr>
        <w:t>13</w:t>
      </w:r>
      <w:r>
        <w:rPr>
          <w:rFonts w:hint="eastAsia" w:ascii="宋体" w:hAnsi="宋体" w:eastAsia="宋体" w:cs="宋体"/>
          <w:bCs/>
          <w:szCs w:val="21"/>
          <w:highlight w:val="none"/>
        </w:rPr>
        <w:t>、我方保证在</w:t>
      </w:r>
      <w:r>
        <w:rPr>
          <w:rFonts w:hint="eastAsia" w:ascii="宋体" w:hAnsi="宋体" w:eastAsia="宋体" w:cs="宋体"/>
          <w:bCs/>
          <w:szCs w:val="21"/>
          <w:highlight w:val="none"/>
          <w:u w:val="single"/>
        </w:rPr>
        <w:t>____</w:t>
      </w:r>
      <w:r>
        <w:rPr>
          <w:rFonts w:hint="eastAsia" w:ascii="宋体" w:hAnsi="宋体" w:eastAsia="宋体" w:cs="宋体"/>
          <w:bCs/>
          <w:szCs w:val="21"/>
          <w:highlight w:val="none"/>
        </w:rPr>
        <w:t>日内（或于</w:t>
      </w:r>
      <w:r>
        <w:rPr>
          <w:rFonts w:hint="eastAsia" w:ascii="宋体" w:hAnsi="宋体" w:eastAsia="宋体" w:cs="宋体"/>
          <w:bCs/>
          <w:szCs w:val="21"/>
          <w:highlight w:val="none"/>
          <w:u w:val="single"/>
        </w:rPr>
        <w:t>_____</w:t>
      </w:r>
      <w:r>
        <w:rPr>
          <w:rFonts w:hint="eastAsia" w:ascii="宋体" w:hAnsi="宋体" w:eastAsia="宋体" w:cs="宋体"/>
          <w:bCs/>
          <w:szCs w:val="21"/>
          <w:highlight w:val="none"/>
        </w:rPr>
        <w:t>年</w:t>
      </w:r>
      <w:r>
        <w:rPr>
          <w:rFonts w:hint="eastAsia" w:ascii="宋体" w:hAnsi="宋体" w:eastAsia="宋体" w:cs="宋体"/>
          <w:bCs/>
          <w:szCs w:val="21"/>
          <w:highlight w:val="none"/>
          <w:u w:val="single"/>
        </w:rPr>
        <w:t>____</w:t>
      </w:r>
      <w:r>
        <w:rPr>
          <w:rFonts w:hint="eastAsia" w:ascii="宋体" w:hAnsi="宋体" w:eastAsia="宋体" w:cs="宋体"/>
          <w:bCs/>
          <w:szCs w:val="21"/>
          <w:highlight w:val="none"/>
        </w:rPr>
        <w:t>月</w:t>
      </w:r>
      <w:r>
        <w:rPr>
          <w:rFonts w:hint="eastAsia" w:ascii="宋体" w:hAnsi="宋体" w:eastAsia="宋体" w:cs="宋体"/>
          <w:bCs/>
          <w:szCs w:val="21"/>
          <w:highlight w:val="none"/>
          <w:u w:val="single"/>
        </w:rPr>
        <w:t>____</w:t>
      </w:r>
      <w:r>
        <w:rPr>
          <w:rFonts w:hint="eastAsia" w:ascii="宋体" w:hAnsi="宋体" w:eastAsia="宋体" w:cs="宋体"/>
          <w:bCs/>
          <w:szCs w:val="21"/>
          <w:highlight w:val="none"/>
        </w:rPr>
        <w:t>日前）完成并移交本工程（非我方造成的工期延误除外）。（投标人填写）</w:t>
      </w:r>
    </w:p>
    <w:p>
      <w:pPr>
        <w:adjustRightInd w:val="0"/>
        <w:snapToGrid w:val="0"/>
        <w:spacing w:line="360" w:lineRule="auto"/>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lang w:val="en-US" w:eastAsia="zh-CN"/>
        </w:rPr>
        <w:t>14</w:t>
      </w:r>
      <w:r>
        <w:rPr>
          <w:rFonts w:hint="eastAsia" w:ascii="宋体" w:hAnsi="宋体" w:eastAsia="宋体" w:cs="宋体"/>
          <w:bCs/>
          <w:szCs w:val="21"/>
          <w:highlight w:val="none"/>
        </w:rPr>
        <w:t>、对在工程实施过程中发生的工程变更，严格按照双方合同的有关规定计量和计价，</w:t>
      </w:r>
      <w:r>
        <w:rPr>
          <w:rFonts w:hint="eastAsia" w:ascii="宋体" w:hAnsi="宋体" w:eastAsia="宋体" w:cs="宋体"/>
          <w:bCs/>
          <w:szCs w:val="21"/>
          <w:highlight w:val="none"/>
          <w:lang w:val="en-US" w:eastAsia="zh-CN"/>
        </w:rPr>
        <w:t>我方</w:t>
      </w:r>
      <w:r>
        <w:rPr>
          <w:rFonts w:hint="eastAsia" w:ascii="宋体" w:hAnsi="宋体" w:eastAsia="宋体" w:cs="宋体"/>
          <w:bCs/>
          <w:szCs w:val="21"/>
          <w:highlight w:val="none"/>
        </w:rPr>
        <w:t>保证接受贵方要求完成变更的工程内容。</w:t>
      </w:r>
    </w:p>
    <w:p>
      <w:pPr>
        <w:adjustRightInd w:val="0"/>
        <w:snapToGrid w:val="0"/>
        <w:spacing w:line="360" w:lineRule="auto"/>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lang w:val="en-US" w:eastAsia="zh-CN"/>
        </w:rPr>
        <w:t>15</w:t>
      </w:r>
      <w:r>
        <w:rPr>
          <w:rFonts w:hint="eastAsia" w:ascii="宋体" w:hAnsi="宋体" w:eastAsia="宋体" w:cs="宋体"/>
          <w:bCs/>
          <w:szCs w:val="21"/>
          <w:highlight w:val="none"/>
        </w:rPr>
        <w:t>、按照施工合同约定的质量缺陷保修范围和相应的保修期，我方</w:t>
      </w:r>
      <w:r>
        <w:rPr>
          <w:rFonts w:hint="eastAsia" w:ascii="宋体" w:hAnsi="宋体" w:eastAsia="宋体" w:cs="宋体"/>
          <w:bCs/>
          <w:szCs w:val="21"/>
          <w:highlight w:val="none"/>
          <w:lang w:val="en-US" w:eastAsia="zh-CN"/>
        </w:rPr>
        <w:t>保证</w:t>
      </w:r>
      <w:r>
        <w:rPr>
          <w:rFonts w:hint="eastAsia" w:ascii="宋体" w:hAnsi="宋体" w:eastAsia="宋体" w:cs="宋体"/>
          <w:bCs/>
          <w:szCs w:val="21"/>
          <w:highlight w:val="none"/>
        </w:rPr>
        <w:t>在接到保修通知后</w:t>
      </w:r>
      <w:r>
        <w:rPr>
          <w:rFonts w:hint="eastAsia" w:ascii="宋体" w:hAnsi="宋体" w:eastAsia="宋体" w:cs="宋体"/>
          <w:bCs/>
          <w:szCs w:val="21"/>
          <w:highlight w:val="none"/>
          <w:u w:val="single"/>
        </w:rPr>
        <w:t>_______</w:t>
      </w:r>
      <w:r>
        <w:rPr>
          <w:rFonts w:hint="eastAsia" w:ascii="宋体" w:hAnsi="宋体" w:eastAsia="宋体" w:cs="宋体"/>
          <w:bCs/>
          <w:szCs w:val="21"/>
          <w:highlight w:val="none"/>
        </w:rPr>
        <w:t>日内派人维修，直到达到合格的质量标准。</w:t>
      </w:r>
    </w:p>
    <w:p>
      <w:pPr>
        <w:adjustRightInd w:val="0"/>
        <w:snapToGrid w:val="0"/>
        <w:spacing w:line="360" w:lineRule="auto"/>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lang w:val="en-US" w:eastAsia="zh-CN"/>
        </w:rPr>
        <w:t>16</w:t>
      </w:r>
      <w:r>
        <w:rPr>
          <w:rFonts w:hint="eastAsia" w:ascii="宋体" w:hAnsi="宋体" w:eastAsia="宋体" w:cs="宋体"/>
          <w:bCs/>
          <w:szCs w:val="21"/>
          <w:highlight w:val="none"/>
        </w:rPr>
        <w:t>、招标文件规定的其他主要承诺事项：</w:t>
      </w:r>
    </w:p>
    <w:p>
      <w:pPr>
        <w:adjustRightInd w:val="0"/>
        <w:snapToGrid w:val="0"/>
        <w:spacing w:line="360" w:lineRule="auto"/>
        <w:rPr>
          <w:rFonts w:hint="eastAsia" w:ascii="宋体" w:hAnsi="宋体" w:eastAsia="宋体" w:cs="宋体"/>
          <w:bCs/>
          <w:szCs w:val="21"/>
          <w:highlight w:val="none"/>
        </w:rPr>
      </w:pPr>
      <w:r>
        <w:rPr>
          <w:rFonts w:hint="eastAsia" w:ascii="宋体" w:hAnsi="宋体" w:eastAsia="宋体" w:cs="宋体"/>
          <w:bCs/>
          <w:szCs w:val="21"/>
          <w:highlight w:val="none"/>
          <w:u w:val="single"/>
        </w:rPr>
        <w:t>___________________________________________________________________________</w:t>
      </w:r>
    </w:p>
    <w:p>
      <w:pPr>
        <w:adjustRightInd w:val="0"/>
        <w:snapToGrid w:val="0"/>
        <w:spacing w:line="360" w:lineRule="auto"/>
        <w:rPr>
          <w:rFonts w:hint="eastAsia" w:ascii="宋体" w:hAnsi="宋体" w:eastAsia="宋体" w:cs="宋体"/>
          <w:bCs/>
          <w:szCs w:val="21"/>
          <w:highlight w:val="none"/>
        </w:rPr>
      </w:pPr>
      <w:r>
        <w:rPr>
          <w:rFonts w:hint="eastAsia" w:ascii="宋体" w:hAnsi="宋体" w:eastAsia="宋体" w:cs="宋体"/>
          <w:bCs/>
          <w:szCs w:val="21"/>
          <w:highlight w:val="none"/>
          <w:u w:val="single"/>
        </w:rPr>
        <w:t>___________________________________________________________________________</w:t>
      </w:r>
      <w:r>
        <w:rPr>
          <w:rFonts w:hint="eastAsia" w:ascii="宋体" w:hAnsi="宋体" w:eastAsia="宋体" w:cs="宋体"/>
          <w:bCs/>
          <w:szCs w:val="21"/>
          <w:highlight w:val="none"/>
        </w:rPr>
        <w:t>。</w:t>
      </w:r>
    </w:p>
    <w:p>
      <w:pPr>
        <w:numPr>
          <w:ilvl w:val="-1"/>
          <w:numId w:val="0"/>
        </w:numPr>
        <w:adjustRightInd w:val="0"/>
        <w:snapToGrid w:val="0"/>
        <w:spacing w:line="360" w:lineRule="auto"/>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lang w:val="en-US" w:eastAsia="zh-CN"/>
        </w:rPr>
        <w:t>17、</w:t>
      </w:r>
      <w:r>
        <w:rPr>
          <w:rFonts w:hint="eastAsia" w:ascii="宋体" w:hAnsi="宋体" w:eastAsia="宋体" w:cs="宋体"/>
          <w:bCs/>
          <w:szCs w:val="21"/>
          <w:highlight w:val="none"/>
        </w:rPr>
        <w:t>我方</w:t>
      </w:r>
      <w:r>
        <w:rPr>
          <w:rFonts w:hint="eastAsia" w:ascii="宋体" w:hAnsi="宋体" w:eastAsia="宋体" w:cs="宋体"/>
          <w:bCs/>
          <w:szCs w:val="21"/>
          <w:highlight w:val="none"/>
          <w:lang w:val="en-US" w:eastAsia="zh-CN"/>
        </w:rPr>
        <w:t>保证</w:t>
      </w:r>
      <w:r>
        <w:rPr>
          <w:rFonts w:hint="eastAsia" w:ascii="宋体" w:hAnsi="宋体" w:eastAsia="宋体" w:cs="宋体"/>
          <w:bCs/>
          <w:szCs w:val="21"/>
          <w:highlight w:val="none"/>
        </w:rPr>
        <w:t>在本次投标中无弄虚作假行为，且未与其他投标人、招标人及评标专家串通投标等违规行为。否则，将接受取消投标资格、取消中标资格、解除合同、已进场施工的无条件退场、记录不良行为、暂停一年至三年在我市参加建设工程投标的资格等处理，涉嫌构成犯罪的，将依法追究刑事责任并移送公安机关查处。</w:t>
      </w:r>
    </w:p>
    <w:p>
      <w:pPr>
        <w:numPr>
          <w:ilvl w:val="0"/>
          <w:numId w:val="2"/>
        </w:numPr>
        <w:adjustRightInd w:val="0"/>
        <w:snapToGrid w:val="0"/>
        <w:spacing w:line="360" w:lineRule="auto"/>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lang w:val="en-US" w:eastAsia="zh-CN"/>
        </w:rPr>
        <w:t>我方保证中标后不转包或违法分包，依法按照国家、省、市有关规定发包劳务或使用自有劳务队伍，按时足额支付工程款给分包单位（如有）。</w:t>
      </w:r>
    </w:p>
    <w:p>
      <w:pPr>
        <w:numPr>
          <w:ilvl w:val="0"/>
          <w:numId w:val="2"/>
        </w:numPr>
        <w:adjustRightInd w:val="0"/>
        <w:snapToGrid w:val="0"/>
        <w:spacing w:line="360" w:lineRule="auto"/>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lang w:val="en-US" w:eastAsia="zh-CN"/>
        </w:rPr>
        <w:t>我方保证中标后切实落实用工实名制和分账制管理的各项规定，利用信息技术手段对施工现场人员建立基本信息档案，采用人脸识别、扫码等技术实施考勤管理；开设工人工资专用账户，保证工人工资按月足额发放。我方接受招标人及建设行政主管部门的监督、检查。</w:t>
      </w:r>
    </w:p>
    <w:p>
      <w:pPr>
        <w:adjustRightInd w:val="0"/>
        <w:snapToGrid w:val="0"/>
        <w:spacing w:line="360" w:lineRule="auto"/>
        <w:ind w:firstLine="525" w:firstLineChars="250"/>
        <w:rPr>
          <w:rFonts w:hint="eastAsia" w:ascii="宋体" w:hAnsi="宋体" w:eastAsia="宋体" w:cs="宋体"/>
          <w:bCs/>
          <w:szCs w:val="21"/>
          <w:highlight w:val="none"/>
        </w:rPr>
      </w:pPr>
      <w:r>
        <w:rPr>
          <w:rFonts w:hint="eastAsia" w:ascii="宋体" w:hAnsi="宋体" w:eastAsia="宋体" w:cs="宋体"/>
          <w:bCs/>
          <w:szCs w:val="21"/>
          <w:highlight w:val="none"/>
          <w:lang w:val="en-US" w:eastAsia="zh-CN"/>
        </w:rPr>
        <w:t>20</w:t>
      </w:r>
      <w:r>
        <w:rPr>
          <w:rFonts w:hint="eastAsia" w:ascii="宋体" w:hAnsi="宋体" w:eastAsia="宋体" w:cs="宋体"/>
          <w:bCs/>
          <w:szCs w:val="21"/>
          <w:highlight w:val="none"/>
        </w:rPr>
        <w:t>、如果违反本承诺书中任何条款，我方愿意接受：</w:t>
      </w:r>
    </w:p>
    <w:p>
      <w:pPr>
        <w:adjustRightInd w:val="0"/>
        <w:snapToGrid w:val="0"/>
        <w:spacing w:line="360" w:lineRule="auto"/>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(1)视作我方单方面违约，并按照合同规定向贵方支付违约金或解除合同；</w:t>
      </w:r>
    </w:p>
    <w:p>
      <w:pPr>
        <w:adjustRightInd w:val="0"/>
        <w:snapToGrid w:val="0"/>
        <w:spacing w:line="360" w:lineRule="auto"/>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(2)履约评价评定为合格及以下；</w:t>
      </w:r>
    </w:p>
    <w:p>
      <w:pPr>
        <w:adjustRightInd w:val="0"/>
        <w:snapToGrid w:val="0"/>
        <w:spacing w:line="360" w:lineRule="auto"/>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(3)本工程招标人今后可拒绝我方参与投标；</w:t>
      </w:r>
    </w:p>
    <w:p>
      <w:pPr>
        <w:adjustRightInd w:val="0"/>
        <w:snapToGrid w:val="0"/>
        <w:spacing w:line="360" w:lineRule="auto"/>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(4)建设行政主管部门或相关主管部门的不良行为记录、行政处罚。</w:t>
      </w:r>
    </w:p>
    <w:p>
      <w:pPr>
        <w:adjustRightInd w:val="0"/>
        <w:snapToGrid w:val="0"/>
        <w:spacing w:line="360" w:lineRule="auto"/>
        <w:rPr>
          <w:rFonts w:hint="eastAsia" w:ascii="宋体" w:hAnsi="宋体" w:eastAsia="宋体" w:cs="宋体"/>
          <w:bCs/>
          <w:szCs w:val="21"/>
          <w:highlight w:val="none"/>
        </w:rPr>
      </w:pPr>
    </w:p>
    <w:p>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投标人（单位公章）：</w:t>
      </w:r>
      <w:r>
        <w:rPr>
          <w:rFonts w:hint="eastAsia" w:ascii="宋体" w:hAnsi="宋体" w:eastAsia="宋体" w:cs="宋体"/>
          <w:szCs w:val="21"/>
          <w:highlight w:val="none"/>
          <w:u w:val="single"/>
        </w:rPr>
        <w:t>__________________________________________</w:t>
      </w:r>
    </w:p>
    <w:p>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单位地址：</w:t>
      </w:r>
      <w:r>
        <w:rPr>
          <w:rFonts w:hint="eastAsia" w:ascii="宋体" w:hAnsi="宋体" w:eastAsia="宋体" w:cs="宋体"/>
          <w:szCs w:val="21"/>
          <w:highlight w:val="none"/>
          <w:u w:val="single"/>
        </w:rPr>
        <w:t>___________________________________________________</w:t>
      </w:r>
    </w:p>
    <w:p>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邮政编码：</w:t>
      </w:r>
      <w:r>
        <w:rPr>
          <w:rFonts w:hint="eastAsia" w:ascii="宋体" w:hAnsi="宋体" w:eastAsia="宋体" w:cs="宋体"/>
          <w:szCs w:val="21"/>
          <w:highlight w:val="none"/>
          <w:u w:val="single"/>
        </w:rPr>
        <w:t>______________</w:t>
      </w:r>
      <w:r>
        <w:rPr>
          <w:rFonts w:hint="eastAsia" w:ascii="宋体" w:hAnsi="宋体" w:eastAsia="宋体" w:cs="宋体"/>
          <w:szCs w:val="21"/>
          <w:highlight w:val="none"/>
        </w:rPr>
        <w:t>电话：</w:t>
      </w:r>
      <w:r>
        <w:rPr>
          <w:rFonts w:hint="eastAsia" w:ascii="宋体" w:hAnsi="宋体" w:eastAsia="宋体" w:cs="宋体"/>
          <w:szCs w:val="21"/>
          <w:highlight w:val="none"/>
          <w:u w:val="single"/>
        </w:rPr>
        <w:t>____________</w:t>
      </w:r>
      <w:r>
        <w:rPr>
          <w:rFonts w:hint="eastAsia" w:ascii="宋体" w:hAnsi="宋体" w:eastAsia="宋体" w:cs="宋体"/>
          <w:szCs w:val="21"/>
          <w:highlight w:val="none"/>
        </w:rPr>
        <w:t>传真：</w:t>
      </w:r>
      <w:r>
        <w:rPr>
          <w:rFonts w:hint="eastAsia" w:ascii="宋体" w:hAnsi="宋体" w:eastAsia="宋体" w:cs="宋体"/>
          <w:szCs w:val="21"/>
          <w:highlight w:val="none"/>
          <w:u w:val="single"/>
        </w:rPr>
        <w:t>____________</w:t>
      </w:r>
    </w:p>
    <w:p>
      <w:pPr>
        <w:adjustRightInd w:val="0"/>
        <w:snapToGrid w:val="0"/>
        <w:spacing w:line="360" w:lineRule="auto"/>
        <w:rPr>
          <w:rFonts w:hint="eastAsia" w:ascii="宋体" w:hAnsi="宋体" w:eastAsia="宋体" w:cs="宋体"/>
          <w:bCs/>
          <w:szCs w:val="21"/>
          <w:highlight w:val="none"/>
        </w:rPr>
      </w:pPr>
    </w:p>
    <w:p>
      <w:pPr>
        <w:adjustRightInd w:val="0"/>
        <w:snapToGrid w:val="0"/>
        <w:spacing w:line="360" w:lineRule="auto"/>
        <w:ind w:firstLine="4200" w:firstLineChars="2000"/>
        <w:rPr>
          <w:rFonts w:hint="eastAsia" w:ascii="宋体" w:hAnsi="宋体" w:eastAsia="宋体" w:cs="宋体"/>
          <w:bCs/>
          <w:szCs w:val="21"/>
          <w:highlight w:val="none"/>
        </w:rPr>
      </w:pPr>
      <w:r>
        <w:rPr>
          <w:rFonts w:hint="eastAsia" w:ascii="宋体" w:hAnsi="宋体" w:eastAsia="宋体" w:cs="宋体"/>
          <w:bCs/>
          <w:szCs w:val="21"/>
          <w:highlight w:val="none"/>
        </w:rPr>
        <w:t>年   月   日</w:t>
      </w:r>
    </w:p>
    <w:p>
      <w:pPr>
        <w:adjustRightInd w:val="0"/>
        <w:snapToGrid w:val="0"/>
        <w:spacing w:line="360" w:lineRule="auto"/>
        <w:rPr>
          <w:rFonts w:hint="eastAsia" w:ascii="宋体" w:hAnsi="宋体" w:eastAsia="宋体" w:cs="宋体"/>
          <w:bCs/>
          <w:szCs w:val="21"/>
          <w:highlight w:val="none"/>
        </w:rPr>
      </w:pPr>
    </w:p>
    <w:p>
      <w:pPr>
        <w:adjustRightInd w:val="0"/>
        <w:snapToGrid w:val="0"/>
        <w:spacing w:line="360" w:lineRule="auto"/>
        <w:rPr>
          <w:rFonts w:hint="eastAsia" w:ascii="宋体" w:hAnsi="宋体" w:eastAsia="宋体" w:cs="宋体"/>
          <w:bCs/>
          <w:szCs w:val="21"/>
          <w:highlight w:val="none"/>
        </w:rPr>
      </w:pPr>
    </w:p>
    <w:p>
      <w:pPr>
        <w:adjustRightInd w:val="0"/>
        <w:snapToGrid w:val="0"/>
        <w:spacing w:line="360" w:lineRule="auto"/>
        <w:rPr>
          <w:rFonts w:hint="eastAsia" w:ascii="宋体" w:hAnsi="宋体" w:eastAsia="宋体" w:cs="宋体"/>
          <w:bCs/>
          <w:szCs w:val="21"/>
          <w:highlight w:val="none"/>
        </w:rPr>
      </w:pPr>
      <w:r>
        <w:rPr>
          <w:rFonts w:hint="eastAsia" w:ascii="宋体" w:hAnsi="宋体" w:eastAsia="宋体" w:cs="宋体"/>
          <w:bCs/>
          <w:szCs w:val="21"/>
          <w:highlight w:val="none"/>
        </w:rPr>
        <w:t>附件：</w:t>
      </w:r>
    </w:p>
    <w:p>
      <w:pPr>
        <w:adjustRightInd w:val="0"/>
        <w:snapToGrid w:val="0"/>
        <w:spacing w:line="360" w:lineRule="auto"/>
        <w:rPr>
          <w:bCs/>
          <w:highlight w:val="none"/>
        </w:rPr>
      </w:pPr>
      <w:r>
        <w:rPr>
          <w:rFonts w:hint="eastAsia" w:ascii="宋体" w:hAnsi="宋体" w:eastAsia="宋体" w:cs="宋体"/>
          <w:bCs/>
          <w:szCs w:val="21"/>
          <w:highlight w:val="none"/>
        </w:rPr>
        <w:t>《项目管理</w:t>
      </w:r>
      <w:r>
        <w:rPr>
          <w:rFonts w:hint="eastAsia" w:ascii="宋体" w:hAnsi="宋体" w:eastAsia="宋体" w:cs="宋体"/>
          <w:bCs/>
          <w:szCs w:val="21"/>
          <w:highlight w:val="none"/>
          <w:lang w:val="en-US" w:eastAsia="zh-CN"/>
        </w:rPr>
        <w:t>机构</w:t>
      </w:r>
      <w:r>
        <w:rPr>
          <w:rFonts w:hint="eastAsia" w:ascii="宋体" w:hAnsi="宋体" w:eastAsia="宋体" w:cs="宋体"/>
          <w:bCs/>
          <w:szCs w:val="21"/>
          <w:highlight w:val="none"/>
        </w:rPr>
        <w:t>配备情况表》、《主要机械设备表》（投标人填写）</w:t>
      </w:r>
      <w:r>
        <w:rPr>
          <w:bCs/>
          <w:highlight w:val="none"/>
        </w:rPr>
        <w:br w:type="page"/>
      </w:r>
    </w:p>
    <w:p>
      <w:pPr>
        <w:adjustRightInd w:val="0"/>
        <w:snapToGrid w:val="0"/>
        <w:spacing w:line="360" w:lineRule="auto"/>
        <w:ind w:firstLine="602" w:firstLineChars="200"/>
        <w:jc w:val="center"/>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项目管理</w:t>
      </w:r>
      <w:r>
        <w:rPr>
          <w:rFonts w:hint="eastAsia" w:ascii="宋体" w:hAnsi="宋体" w:eastAsia="宋体" w:cs="宋体"/>
          <w:b/>
          <w:bCs/>
          <w:sz w:val="30"/>
          <w:szCs w:val="30"/>
          <w:highlight w:val="none"/>
          <w:lang w:val="en-US" w:eastAsia="zh-CN"/>
        </w:rPr>
        <w:t>机构</w:t>
      </w:r>
      <w:r>
        <w:rPr>
          <w:rFonts w:hint="eastAsia" w:ascii="宋体" w:hAnsi="宋体" w:eastAsia="宋体" w:cs="宋体"/>
          <w:b/>
          <w:bCs/>
          <w:sz w:val="30"/>
          <w:szCs w:val="30"/>
          <w:highlight w:val="none"/>
        </w:rPr>
        <w:t>配备情况表（与技术标书一致）</w:t>
      </w:r>
    </w:p>
    <w:tbl>
      <w:tblPr>
        <w:tblStyle w:val="39"/>
        <w:tblW w:w="92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7"/>
        <w:gridCol w:w="1159"/>
        <w:gridCol w:w="1093"/>
        <w:gridCol w:w="1456"/>
        <w:gridCol w:w="1093"/>
        <w:gridCol w:w="1639"/>
        <w:gridCol w:w="1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27" w:type="dxa"/>
            <w:vMerge w:val="restart"/>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职务</w:t>
            </w:r>
          </w:p>
        </w:tc>
        <w:tc>
          <w:tcPr>
            <w:tcW w:w="1159" w:type="dxa"/>
            <w:vMerge w:val="restart"/>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姓名</w:t>
            </w:r>
          </w:p>
        </w:tc>
        <w:tc>
          <w:tcPr>
            <w:tcW w:w="1093" w:type="dxa"/>
            <w:vMerge w:val="restart"/>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职称</w:t>
            </w:r>
          </w:p>
        </w:tc>
        <w:tc>
          <w:tcPr>
            <w:tcW w:w="6010" w:type="dxa"/>
            <w:gridSpan w:val="4"/>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上岗资格证明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27" w:type="dxa"/>
            <w:vMerge w:val="continue"/>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159" w:type="dxa"/>
            <w:vMerge w:val="continue"/>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093" w:type="dxa"/>
            <w:vMerge w:val="continue"/>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456"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证书名称</w:t>
            </w:r>
          </w:p>
        </w:tc>
        <w:tc>
          <w:tcPr>
            <w:tcW w:w="1093"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级别</w:t>
            </w:r>
          </w:p>
        </w:tc>
        <w:tc>
          <w:tcPr>
            <w:tcW w:w="1639"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证号</w:t>
            </w:r>
          </w:p>
        </w:tc>
        <w:tc>
          <w:tcPr>
            <w:tcW w:w="1822"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2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1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093"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456"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093"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63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822"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2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1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093"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456"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093"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63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822"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2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1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093"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456"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093"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63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822"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2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1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093"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456"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093"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63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822"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2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1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093"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456"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093"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63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822"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2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1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093"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456"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093"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63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822"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2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1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093"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456"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093"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63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822"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2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1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093"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456"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093"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63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822"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2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1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093"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456"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093"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63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822"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2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1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093"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456"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093"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63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822"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2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1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093"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456"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093"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63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822"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2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1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093"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456"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093"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63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822"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2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1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093"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456"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093"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63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822"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2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1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093"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456"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093"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63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822"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2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1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093"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456"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093"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63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822"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2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1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093"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456"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093"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63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822"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02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1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093"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456"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093"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63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c>
          <w:tcPr>
            <w:tcW w:w="1822" w:type="dxa"/>
            <w:shd w:val="clear" w:color="auto" w:fill="auto"/>
            <w:vAlign w:val="center"/>
          </w:tcPr>
          <w:p>
            <w:pPr>
              <w:adjustRightInd w:val="0"/>
              <w:snapToGrid w:val="0"/>
              <w:spacing w:line="360" w:lineRule="auto"/>
              <w:jc w:val="center"/>
              <w:rPr>
                <w:rFonts w:hint="eastAsia" w:ascii="宋体" w:hAnsi="宋体" w:eastAsia="宋体" w:cs="宋体"/>
                <w:kern w:val="0"/>
                <w:sz w:val="20"/>
                <w:szCs w:val="20"/>
                <w:highlight w:val="none"/>
              </w:rPr>
            </w:pPr>
          </w:p>
        </w:tc>
      </w:tr>
    </w:tbl>
    <w:p>
      <w:pPr>
        <w:spacing w:line="20" w:lineRule="exact"/>
        <w:rPr>
          <w:highlight w:val="none"/>
        </w:rPr>
      </w:pPr>
      <w:r>
        <w:rPr>
          <w:highlight w:val="none"/>
        </w:rPr>
        <w:br w:type="page"/>
      </w:r>
    </w:p>
    <w:p>
      <w:pPr>
        <w:adjustRightInd w:val="0"/>
        <w:snapToGrid w:val="0"/>
        <w:spacing w:line="360" w:lineRule="auto"/>
        <w:ind w:firstLine="480"/>
        <w:jc w:val="center"/>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主要施工机械设备表（与技术标书一致）</w:t>
      </w:r>
    </w:p>
    <w:tbl>
      <w:tblPr>
        <w:tblStyle w:val="39"/>
        <w:tblW w:w="92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722"/>
        <w:gridCol w:w="1072"/>
        <w:gridCol w:w="858"/>
        <w:gridCol w:w="858"/>
        <w:gridCol w:w="834"/>
        <w:gridCol w:w="1095"/>
        <w:gridCol w:w="1104"/>
        <w:gridCol w:w="1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4"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序号</w:t>
            </w:r>
          </w:p>
        </w:tc>
        <w:tc>
          <w:tcPr>
            <w:tcW w:w="1722"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机械设备名称</w:t>
            </w:r>
          </w:p>
        </w:tc>
        <w:tc>
          <w:tcPr>
            <w:tcW w:w="1072"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型号</w:t>
            </w:r>
          </w:p>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规格</w:t>
            </w:r>
          </w:p>
        </w:tc>
        <w:tc>
          <w:tcPr>
            <w:tcW w:w="85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数量</w:t>
            </w:r>
          </w:p>
        </w:tc>
        <w:tc>
          <w:tcPr>
            <w:tcW w:w="85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国别</w:t>
            </w:r>
          </w:p>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产地</w:t>
            </w:r>
          </w:p>
        </w:tc>
        <w:tc>
          <w:tcPr>
            <w:tcW w:w="834"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制造</w:t>
            </w:r>
          </w:p>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年份</w:t>
            </w:r>
          </w:p>
        </w:tc>
        <w:tc>
          <w:tcPr>
            <w:tcW w:w="1095"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额定功率（KW）</w:t>
            </w:r>
          </w:p>
        </w:tc>
        <w:tc>
          <w:tcPr>
            <w:tcW w:w="1104"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生产</w:t>
            </w:r>
          </w:p>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能力</w:t>
            </w:r>
          </w:p>
        </w:tc>
        <w:tc>
          <w:tcPr>
            <w:tcW w:w="1072"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72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3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95"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10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72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3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95"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10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72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3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95"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10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72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3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95"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10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72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3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95"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10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72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3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95"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10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72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3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95"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10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72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3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95"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10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72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3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95"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10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72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3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95"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10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72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3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95"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10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72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3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95"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10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72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3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95"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10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72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3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95"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10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72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3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95"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10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72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3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95"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10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72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3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95"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10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72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3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95"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10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bl>
    <w:p>
      <w:pPr>
        <w:spacing w:line="20" w:lineRule="exact"/>
        <w:rPr>
          <w:highlight w:val="none"/>
        </w:rPr>
      </w:pPr>
      <w:r>
        <w:rPr>
          <w:highlight w:val="none"/>
        </w:rPr>
        <w:br w:type="page"/>
      </w:r>
    </w:p>
    <w:p>
      <w:pPr>
        <w:adjustRightInd w:val="0"/>
        <w:snapToGrid w:val="0"/>
        <w:spacing w:line="360" w:lineRule="auto"/>
        <w:jc w:val="center"/>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rPr>
        <w:t>四、招标文件要求提交的其他资料</w:t>
      </w:r>
    </w:p>
    <w:p>
      <w:pPr>
        <w:adjustRightInd w:val="0"/>
        <w:snapToGrid w:val="0"/>
        <w:spacing w:line="360" w:lineRule="auto"/>
        <w:ind w:firstLine="420" w:firstLineChars="200"/>
        <w:rPr>
          <w:highlight w:val="none"/>
        </w:rPr>
      </w:pPr>
    </w:p>
    <w:p>
      <w:pPr>
        <w:adjustRightInd w:val="0"/>
        <w:snapToGrid w:val="0"/>
        <w:spacing w:line="360" w:lineRule="auto"/>
        <w:ind w:firstLine="420" w:firstLineChars="200"/>
        <w:rPr>
          <w:highlight w:val="none"/>
        </w:rPr>
      </w:pPr>
      <w:r>
        <w:rPr>
          <w:rFonts w:hint="eastAsia" w:ascii="宋体" w:hAnsi="宋体" w:eastAsia="宋体" w:cs="宋体"/>
          <w:szCs w:val="21"/>
          <w:highlight w:val="none"/>
        </w:rPr>
        <w:t>1．其他资料</w:t>
      </w:r>
      <w:r>
        <w:rPr>
          <w:highlight w:val="none"/>
        </w:rPr>
        <w:br w:type="page"/>
      </w:r>
    </w:p>
    <w:p>
      <w:pPr>
        <w:adjustRightInd w:val="0"/>
        <w:snapToGrid w:val="0"/>
        <w:spacing w:line="360" w:lineRule="auto"/>
        <w:ind w:firstLine="6425" w:firstLineChars="2000"/>
        <w:rPr>
          <w:rFonts w:hint="eastAsia" w:ascii="宋体" w:hAnsi="宋体" w:eastAsia="宋体" w:cs="宋体"/>
          <w:b/>
          <w:bCs/>
          <w:sz w:val="32"/>
          <w:szCs w:val="32"/>
          <w:highlight w:val="none"/>
          <w:u w:val="single"/>
        </w:rPr>
      </w:pPr>
      <w:r>
        <w:rPr>
          <w:rFonts w:hint="eastAsia" w:ascii="宋体" w:hAnsi="宋体" w:eastAsia="宋体" w:cs="宋体"/>
          <w:b/>
          <w:sz w:val="32"/>
          <w:szCs w:val="32"/>
          <w:highlight w:val="none"/>
        </w:rPr>
        <w:t>工程编号：</w:t>
      </w:r>
      <w:r>
        <w:rPr>
          <w:rFonts w:hint="eastAsia" w:ascii="宋体" w:hAnsi="宋体" w:eastAsia="宋体" w:cs="宋体"/>
          <w:b/>
          <w:bCs/>
          <w:sz w:val="32"/>
          <w:szCs w:val="32"/>
          <w:highlight w:val="none"/>
          <w:u w:val="single"/>
        </w:rPr>
        <w:t>_______</w:t>
      </w:r>
    </w:p>
    <w:p>
      <w:pPr>
        <w:adjustRightInd w:val="0"/>
        <w:snapToGrid w:val="0"/>
        <w:spacing w:line="360" w:lineRule="auto"/>
        <w:rPr>
          <w:rFonts w:hint="eastAsia" w:ascii="宋体" w:hAnsi="宋体" w:eastAsia="宋体" w:cs="宋体"/>
          <w:b/>
          <w:sz w:val="32"/>
          <w:szCs w:val="32"/>
          <w:highlight w:val="none"/>
        </w:rPr>
      </w:pPr>
    </w:p>
    <w:p>
      <w:pPr>
        <w:adjustRightInd w:val="0"/>
        <w:snapToGrid w:val="0"/>
        <w:spacing w:line="360" w:lineRule="auto"/>
        <w:jc w:val="center"/>
        <w:rPr>
          <w:rFonts w:hint="eastAsia" w:ascii="宋体" w:hAnsi="宋体" w:eastAsia="宋体" w:cs="宋体"/>
          <w:b/>
          <w:sz w:val="72"/>
          <w:highlight w:val="none"/>
        </w:rPr>
      </w:pPr>
      <w:r>
        <w:rPr>
          <w:rFonts w:hint="eastAsia" w:ascii="宋体" w:hAnsi="宋体" w:eastAsia="宋体" w:cs="宋体"/>
          <w:b/>
          <w:sz w:val="72"/>
          <w:highlight w:val="none"/>
        </w:rPr>
        <w:t>深圳市建设工程施工招标</w:t>
      </w:r>
    </w:p>
    <w:p>
      <w:pPr>
        <w:adjustRightInd w:val="0"/>
        <w:snapToGrid w:val="0"/>
        <w:spacing w:line="360" w:lineRule="auto"/>
        <w:jc w:val="center"/>
        <w:rPr>
          <w:rFonts w:hint="eastAsia" w:ascii="宋体" w:hAnsi="宋体" w:eastAsia="宋体" w:cs="宋体"/>
          <w:b/>
          <w:sz w:val="72"/>
          <w:highlight w:val="none"/>
        </w:rPr>
      </w:pPr>
      <w:r>
        <w:rPr>
          <w:rFonts w:hint="eastAsia" w:ascii="宋体" w:hAnsi="宋体" w:eastAsia="宋体" w:cs="宋体"/>
          <w:b/>
          <w:sz w:val="72"/>
          <w:highlight w:val="none"/>
        </w:rPr>
        <w:t>投 标 文 件</w:t>
      </w:r>
    </w:p>
    <w:p>
      <w:pPr>
        <w:adjustRightInd w:val="0"/>
        <w:snapToGrid w:val="0"/>
        <w:spacing w:line="360" w:lineRule="auto"/>
        <w:jc w:val="center"/>
        <w:rPr>
          <w:rFonts w:hint="eastAsia" w:ascii="宋体" w:hAnsi="宋体" w:eastAsia="宋体" w:cs="宋体"/>
          <w:b/>
          <w:sz w:val="72"/>
          <w:highlight w:val="none"/>
        </w:rPr>
      </w:pPr>
    </w:p>
    <w:p>
      <w:pPr>
        <w:adjustRightInd w:val="0"/>
        <w:snapToGrid w:val="0"/>
        <w:spacing w:line="360" w:lineRule="auto"/>
        <w:jc w:val="center"/>
        <w:rPr>
          <w:rFonts w:hint="eastAsia" w:ascii="宋体" w:hAnsi="宋体" w:eastAsia="宋体" w:cs="宋体"/>
          <w:b/>
          <w:sz w:val="72"/>
          <w:highlight w:val="none"/>
        </w:rPr>
      </w:pPr>
    </w:p>
    <w:p>
      <w:pPr>
        <w:adjustRightInd w:val="0"/>
        <w:snapToGrid w:val="0"/>
        <w:spacing w:line="360" w:lineRule="auto"/>
        <w:jc w:val="center"/>
        <w:rPr>
          <w:rFonts w:hint="eastAsia" w:ascii="宋体" w:hAnsi="宋体" w:eastAsia="宋体" w:cs="宋体"/>
          <w:b/>
          <w:sz w:val="72"/>
          <w:highlight w:val="none"/>
        </w:rPr>
      </w:pPr>
    </w:p>
    <w:p>
      <w:pPr>
        <w:adjustRightInd w:val="0"/>
        <w:snapToGrid w:val="0"/>
        <w:spacing w:line="360" w:lineRule="auto"/>
        <w:rPr>
          <w:rFonts w:hint="eastAsia" w:ascii="宋体" w:hAnsi="宋体" w:eastAsia="宋体" w:cs="宋体"/>
          <w:b/>
          <w:sz w:val="32"/>
          <w:highlight w:val="none"/>
        </w:rPr>
      </w:pPr>
      <w:r>
        <w:rPr>
          <w:rFonts w:hint="eastAsia" w:ascii="宋体" w:hAnsi="宋体" w:eastAsia="宋体" w:cs="宋体"/>
          <w:b/>
          <w:sz w:val="32"/>
          <w:highlight w:val="none"/>
        </w:rPr>
        <w:t>工程名称：</w:t>
      </w:r>
      <w:r>
        <w:rPr>
          <w:rFonts w:hint="eastAsia" w:ascii="宋体" w:hAnsi="宋体" w:eastAsia="宋体" w:cs="宋体"/>
          <w:b/>
          <w:sz w:val="32"/>
          <w:highlight w:val="none"/>
          <w:u w:val="single"/>
        </w:rPr>
        <w:t>___________________________________________</w:t>
      </w:r>
    </w:p>
    <w:p>
      <w:pPr>
        <w:adjustRightInd w:val="0"/>
        <w:snapToGrid w:val="0"/>
        <w:spacing w:line="360" w:lineRule="auto"/>
        <w:rPr>
          <w:rFonts w:hint="eastAsia" w:ascii="宋体" w:hAnsi="宋体" w:eastAsia="宋体" w:cs="宋体"/>
          <w:b/>
          <w:sz w:val="32"/>
          <w:highlight w:val="none"/>
        </w:rPr>
      </w:pPr>
    </w:p>
    <w:p>
      <w:pPr>
        <w:adjustRightInd w:val="0"/>
        <w:snapToGrid w:val="0"/>
        <w:spacing w:line="360" w:lineRule="auto"/>
        <w:outlineLvl w:val="1"/>
        <w:rPr>
          <w:rFonts w:hint="eastAsia" w:ascii="宋体" w:hAnsi="宋体" w:eastAsia="宋体" w:cs="宋体"/>
          <w:b/>
          <w:sz w:val="32"/>
          <w:highlight w:val="none"/>
        </w:rPr>
      </w:pPr>
      <w:bookmarkStart w:id="1873" w:name="_Toc19094"/>
      <w:r>
        <w:rPr>
          <w:rFonts w:hint="eastAsia" w:ascii="宋体" w:hAnsi="宋体" w:eastAsia="宋体" w:cs="宋体"/>
          <w:b/>
          <w:sz w:val="32"/>
          <w:highlight w:val="none"/>
        </w:rPr>
        <w:t>投标文件内容：</w:t>
      </w:r>
      <w:r>
        <w:rPr>
          <w:rFonts w:hint="eastAsia" w:ascii="宋体" w:hAnsi="宋体" w:eastAsia="宋体" w:cs="宋体"/>
          <w:b/>
          <w:sz w:val="52"/>
          <w:highlight w:val="none"/>
          <w:u w:val="single"/>
        </w:rPr>
        <w:t xml:space="preserve">       技术标部分</w:t>
      </w:r>
      <w:bookmarkEnd w:id="1873"/>
      <w:r>
        <w:rPr>
          <w:rFonts w:hint="eastAsia" w:ascii="宋体" w:hAnsi="宋体" w:eastAsia="宋体" w:cs="宋体"/>
          <w:b/>
          <w:sz w:val="52"/>
          <w:highlight w:val="none"/>
          <w:u w:val="single"/>
        </w:rPr>
        <w:t xml:space="preserve">       </w:t>
      </w:r>
    </w:p>
    <w:p>
      <w:pPr>
        <w:adjustRightInd w:val="0"/>
        <w:snapToGrid w:val="0"/>
        <w:spacing w:line="360" w:lineRule="auto"/>
        <w:rPr>
          <w:rFonts w:hint="eastAsia" w:ascii="宋体" w:hAnsi="宋体" w:eastAsia="宋体" w:cs="宋体"/>
          <w:b/>
          <w:sz w:val="32"/>
          <w:highlight w:val="none"/>
        </w:rPr>
      </w:pPr>
    </w:p>
    <w:p>
      <w:pPr>
        <w:adjustRightInd w:val="0"/>
        <w:snapToGrid w:val="0"/>
        <w:spacing w:line="360" w:lineRule="auto"/>
        <w:rPr>
          <w:rFonts w:hint="eastAsia" w:ascii="宋体" w:hAnsi="宋体" w:eastAsia="宋体" w:cs="宋体"/>
          <w:highlight w:val="none"/>
        </w:rPr>
      </w:pPr>
      <w:r>
        <w:rPr>
          <w:rFonts w:hint="eastAsia" w:ascii="宋体" w:hAnsi="宋体" w:eastAsia="宋体" w:cs="宋体"/>
          <w:b/>
          <w:sz w:val="32"/>
          <w:highlight w:val="none"/>
        </w:rPr>
        <w:t>日  期：</w:t>
      </w:r>
      <w:r>
        <w:rPr>
          <w:rFonts w:hint="eastAsia" w:ascii="宋体" w:hAnsi="宋体" w:eastAsia="宋体" w:cs="宋体"/>
          <w:b/>
          <w:sz w:val="32"/>
          <w:highlight w:val="none"/>
          <w:u w:val="single"/>
        </w:rPr>
        <w:t>____________</w:t>
      </w:r>
      <w:r>
        <w:rPr>
          <w:rFonts w:hint="eastAsia" w:ascii="宋体" w:hAnsi="宋体" w:eastAsia="宋体" w:cs="宋体"/>
          <w:b/>
          <w:sz w:val="32"/>
          <w:highlight w:val="none"/>
        </w:rPr>
        <w:t>年</w:t>
      </w:r>
      <w:r>
        <w:rPr>
          <w:rFonts w:hint="eastAsia" w:ascii="宋体" w:hAnsi="宋体" w:eastAsia="宋体" w:cs="宋体"/>
          <w:b/>
          <w:sz w:val="32"/>
          <w:highlight w:val="none"/>
          <w:u w:val="single"/>
        </w:rPr>
        <w:t>______</w:t>
      </w:r>
      <w:r>
        <w:rPr>
          <w:rFonts w:hint="eastAsia" w:ascii="宋体" w:hAnsi="宋体" w:eastAsia="宋体" w:cs="宋体"/>
          <w:b/>
          <w:sz w:val="32"/>
          <w:highlight w:val="none"/>
        </w:rPr>
        <w:t>月</w:t>
      </w:r>
      <w:r>
        <w:rPr>
          <w:rFonts w:hint="eastAsia" w:ascii="宋体" w:hAnsi="宋体" w:eastAsia="宋体" w:cs="宋体"/>
          <w:b/>
          <w:sz w:val="32"/>
          <w:highlight w:val="none"/>
          <w:u w:val="single"/>
        </w:rPr>
        <w:t>______</w:t>
      </w:r>
      <w:r>
        <w:rPr>
          <w:rFonts w:hint="eastAsia" w:ascii="宋体" w:hAnsi="宋体" w:eastAsia="宋体" w:cs="宋体"/>
          <w:b/>
          <w:sz w:val="32"/>
          <w:highlight w:val="none"/>
        </w:rPr>
        <w:t>日</w:t>
      </w:r>
      <w:r>
        <w:rPr>
          <w:rFonts w:hint="eastAsia" w:ascii="宋体" w:hAnsi="宋体" w:eastAsia="宋体" w:cs="宋体"/>
          <w:highlight w:val="none"/>
        </w:rPr>
        <w:br w:type="page"/>
      </w:r>
    </w:p>
    <w:p>
      <w:pPr>
        <w:adjustRightInd w:val="0"/>
        <w:snapToGrid w:val="0"/>
        <w:spacing w:line="360" w:lineRule="auto"/>
        <w:jc w:val="center"/>
        <w:rPr>
          <w:rFonts w:hint="eastAsia" w:ascii="宋体" w:hAnsi="宋体" w:eastAsia="宋体" w:cs="宋体"/>
          <w:b/>
          <w:sz w:val="44"/>
          <w:szCs w:val="44"/>
          <w:highlight w:val="none"/>
        </w:rPr>
      </w:pPr>
      <w:r>
        <w:rPr>
          <w:rFonts w:hint="eastAsia" w:ascii="宋体" w:hAnsi="宋体" w:eastAsia="宋体" w:cs="宋体"/>
          <w:b/>
          <w:sz w:val="44"/>
          <w:szCs w:val="44"/>
          <w:highlight w:val="none"/>
        </w:rPr>
        <w:t>技术标编写目录及要求</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招标人要求投标人编制技术标书的，应在招标文件中明确列出技术标部分目录，包括篇、章、节的标题及主要编制内容。招标人可以限制技术标部分的最高允许页数，超过限制页数的投标文件将被评标委员会在评审时作扣分等处理。</w:t>
      </w:r>
    </w:p>
    <w:p>
      <w:pPr>
        <w:adjustRightInd w:val="0"/>
        <w:snapToGrid w:val="0"/>
        <w:spacing w:line="360" w:lineRule="auto"/>
        <w:jc w:val="center"/>
        <w:rPr>
          <w:rFonts w:hint="eastAsia" w:ascii="宋体" w:hAnsi="宋体" w:eastAsia="宋体" w:cs="宋体"/>
          <w:b/>
          <w:sz w:val="32"/>
          <w:highlight w:val="none"/>
        </w:rPr>
      </w:pPr>
      <w:r>
        <w:rPr>
          <w:rFonts w:hint="eastAsia" w:ascii="宋体" w:hAnsi="宋体" w:eastAsia="宋体" w:cs="宋体"/>
          <w:b/>
          <w:sz w:val="32"/>
          <w:highlight w:val="none"/>
        </w:rPr>
        <w:t>本节编写指南</w:t>
      </w:r>
    </w:p>
    <w:p>
      <w:pPr>
        <w:adjustRightInd w:val="0"/>
        <w:snapToGrid w:val="0"/>
        <w:spacing w:line="360" w:lineRule="auto"/>
        <w:ind w:firstLine="1365" w:firstLineChars="650"/>
        <w:rPr>
          <w:rFonts w:hint="eastAsia" w:ascii="宋体" w:hAnsi="宋体" w:eastAsia="宋体" w:cs="宋体"/>
          <w:szCs w:val="21"/>
          <w:highlight w:val="none"/>
        </w:rPr>
      </w:pPr>
      <w:r>
        <w:rPr>
          <w:rFonts w:hint="eastAsia" w:ascii="宋体" w:hAnsi="宋体" w:eastAsia="宋体" w:cs="宋体"/>
          <w:szCs w:val="21"/>
          <w:highlight w:val="none"/>
        </w:rPr>
        <w:t>（仅供参考，不作评审依据，技术标需评审的内容详见“评审项目”）</w:t>
      </w:r>
    </w:p>
    <w:p>
      <w:pPr>
        <w:adjustRightInd w:val="0"/>
        <w:snapToGrid w:val="0"/>
        <w:spacing w:line="360" w:lineRule="auto"/>
        <w:rPr>
          <w:rFonts w:hint="eastAsia" w:ascii="宋体" w:hAnsi="宋体" w:eastAsia="宋体" w:cs="宋体"/>
          <w:b/>
          <w:sz w:val="30"/>
          <w:highlight w:val="none"/>
        </w:rPr>
      </w:pPr>
      <w:r>
        <w:rPr>
          <w:rFonts w:hint="eastAsia" w:ascii="宋体" w:hAnsi="宋体" w:eastAsia="宋体" w:cs="宋体"/>
          <w:b/>
          <w:sz w:val="30"/>
          <w:highlight w:val="none"/>
        </w:rPr>
        <w:t>第一篇  明标评审部分</w:t>
      </w:r>
    </w:p>
    <w:p>
      <w:pPr>
        <w:adjustRightInd w:val="0"/>
        <w:snapToGrid w:val="0"/>
        <w:spacing w:line="360" w:lineRule="auto"/>
        <w:rPr>
          <w:rFonts w:hint="eastAsia" w:ascii="宋体" w:hAnsi="宋体" w:eastAsia="宋体" w:cs="宋体"/>
          <w:b/>
          <w:szCs w:val="21"/>
          <w:highlight w:val="none"/>
        </w:rPr>
      </w:pPr>
      <w:r>
        <w:rPr>
          <w:rFonts w:hint="eastAsia" w:ascii="宋体" w:hAnsi="宋体" w:eastAsia="宋体" w:cs="宋体"/>
          <w:b/>
          <w:szCs w:val="21"/>
          <w:highlight w:val="none"/>
        </w:rPr>
        <w:t xml:space="preserve">第一章  </w:t>
      </w:r>
      <w:r>
        <w:rPr>
          <w:rFonts w:hint="eastAsia" w:ascii="宋体" w:hAnsi="宋体" w:eastAsia="宋体" w:cs="宋体"/>
          <w:b/>
          <w:szCs w:val="21"/>
          <w:highlight w:val="yellow"/>
        </w:rPr>
        <w:t>项目管理</w:t>
      </w:r>
      <w:r>
        <w:rPr>
          <w:rFonts w:hint="eastAsia" w:ascii="宋体" w:hAnsi="宋体" w:eastAsia="宋体" w:cs="宋体"/>
          <w:b/>
          <w:szCs w:val="21"/>
          <w:highlight w:val="yellow"/>
          <w:lang w:val="en-US" w:eastAsia="zh-CN"/>
        </w:rPr>
        <w:t>机构</w:t>
      </w:r>
      <w:r>
        <w:rPr>
          <w:rFonts w:hint="eastAsia" w:ascii="宋体" w:hAnsi="宋体" w:eastAsia="宋体" w:cs="宋体"/>
          <w:b/>
          <w:szCs w:val="21"/>
          <w:highlight w:val="yellow"/>
        </w:rPr>
        <w:t>人员配备及业绩</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提出施工组织架构设想与</w:t>
      </w:r>
      <w:r>
        <w:rPr>
          <w:rFonts w:hint="eastAsia" w:ascii="宋体" w:hAnsi="宋体" w:eastAsia="宋体" w:cs="宋体"/>
          <w:szCs w:val="21"/>
          <w:highlight w:val="none"/>
          <w:lang w:val="en-US" w:eastAsia="zh-CN"/>
        </w:rPr>
        <w:t>施工</w:t>
      </w:r>
      <w:r>
        <w:rPr>
          <w:rFonts w:hint="eastAsia" w:ascii="宋体" w:hAnsi="宋体" w:eastAsia="宋体" w:cs="宋体"/>
          <w:szCs w:val="21"/>
          <w:highlight w:val="none"/>
        </w:rPr>
        <w:t>管理人员配置计划，绘制投标人拟组建的项目管理部组织系统框图，并简述拟派驻本工程主要</w:t>
      </w:r>
      <w:r>
        <w:rPr>
          <w:rFonts w:hint="eastAsia" w:ascii="宋体" w:hAnsi="宋体" w:eastAsia="宋体" w:cs="宋体"/>
          <w:szCs w:val="21"/>
          <w:highlight w:val="none"/>
          <w:lang w:val="en-US" w:eastAsia="zh-CN"/>
        </w:rPr>
        <w:t>施工</w:t>
      </w:r>
      <w:r>
        <w:rPr>
          <w:rFonts w:hint="eastAsia" w:ascii="宋体" w:hAnsi="宋体" w:eastAsia="宋体" w:cs="宋体"/>
          <w:szCs w:val="21"/>
          <w:highlight w:val="none"/>
        </w:rPr>
        <w:t>管理人员的学历、专业技术任职资格、项目管理任职资格、专业技术工作经历与类似工程项目经验。对于项目经理（建造师）、技术负责人、质量负责人、安全负责人、安全员、劳资专管员等，尚需提供相应资格证书（或上岗证书）、个人类似工程业绩证明文件和社保证明。提供同类工程业绩。（请将此部分证明资料在资信标中提交）</w:t>
      </w:r>
    </w:p>
    <w:p>
      <w:pPr>
        <w:adjustRightInd w:val="0"/>
        <w:snapToGrid w:val="0"/>
        <w:spacing w:line="360" w:lineRule="auto"/>
        <w:rPr>
          <w:rFonts w:hint="eastAsia" w:ascii="宋体" w:hAnsi="宋体" w:eastAsia="宋体" w:cs="宋体"/>
          <w:b/>
          <w:sz w:val="30"/>
          <w:szCs w:val="30"/>
          <w:highlight w:val="none"/>
        </w:rPr>
      </w:pPr>
      <w:r>
        <w:rPr>
          <w:rFonts w:hint="eastAsia" w:ascii="宋体" w:hAnsi="宋体" w:eastAsia="宋体" w:cs="宋体"/>
          <w:b/>
          <w:sz w:val="30"/>
          <w:szCs w:val="30"/>
          <w:highlight w:val="none"/>
        </w:rPr>
        <w:t>第二篇  明标评审部分</w:t>
      </w:r>
    </w:p>
    <w:p>
      <w:pPr>
        <w:adjustRightInd w:val="0"/>
        <w:snapToGrid w:val="0"/>
        <w:spacing w:line="360" w:lineRule="auto"/>
        <w:rPr>
          <w:rFonts w:hint="eastAsia" w:ascii="宋体" w:hAnsi="宋体" w:eastAsia="宋体" w:cs="宋体"/>
          <w:b/>
          <w:szCs w:val="21"/>
          <w:highlight w:val="none"/>
        </w:rPr>
      </w:pPr>
      <w:r>
        <w:rPr>
          <w:rFonts w:hint="eastAsia" w:ascii="宋体" w:hAnsi="宋体" w:eastAsia="宋体" w:cs="宋体"/>
          <w:b/>
          <w:szCs w:val="21"/>
          <w:highlight w:val="none"/>
        </w:rPr>
        <w:t>第一章  施工管理重点、难点分析及应对措施</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描述本工程特点，分析关键性专业工程的施工特点与难点，并对本工程质量、进度、造价和安全文明施工具有控制性影响的工程（工作）内容进行必要的、简要的描述。</w:t>
      </w:r>
    </w:p>
    <w:p>
      <w:pPr>
        <w:adjustRightInd w:val="0"/>
        <w:snapToGrid w:val="0"/>
        <w:spacing w:line="360" w:lineRule="auto"/>
        <w:rPr>
          <w:rFonts w:hint="eastAsia" w:ascii="宋体" w:hAnsi="宋体" w:eastAsia="宋体" w:cs="宋体"/>
          <w:b/>
          <w:szCs w:val="21"/>
          <w:highlight w:val="none"/>
        </w:rPr>
      </w:pPr>
      <w:r>
        <w:rPr>
          <w:rFonts w:hint="eastAsia" w:ascii="宋体" w:hAnsi="宋体" w:eastAsia="宋体" w:cs="宋体"/>
          <w:b/>
          <w:szCs w:val="21"/>
          <w:highlight w:val="none"/>
        </w:rPr>
        <w:t>第二章  施工总体部署、施工总平面布置图及相关说明</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施工总体部署应包括：对施工标段进行合理的分片分区安排；对各片区的主要人员及机械设备进行配置；对各片区的主要施工方法和施工工艺进行简要说明；对应工期安排和场地布置，简要说明总的施工流向、施工程序及施工顺序。</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施工总平面布置图应包括主要机械设备、堆场、加工场、临时道路、临时供水供电、临时排水排污设施等的布局；主要施工阶段总平面图齐全合理。</w:t>
      </w:r>
    </w:p>
    <w:p>
      <w:pPr>
        <w:adjustRightInd w:val="0"/>
        <w:snapToGrid w:val="0"/>
        <w:spacing w:line="360" w:lineRule="auto"/>
        <w:rPr>
          <w:rFonts w:hint="eastAsia" w:ascii="宋体" w:hAnsi="宋体" w:eastAsia="宋体" w:cs="宋体"/>
          <w:b/>
          <w:szCs w:val="21"/>
          <w:highlight w:val="none"/>
        </w:rPr>
      </w:pPr>
      <w:r>
        <w:rPr>
          <w:rFonts w:hint="eastAsia" w:ascii="宋体" w:hAnsi="宋体" w:eastAsia="宋体" w:cs="宋体"/>
          <w:b/>
          <w:szCs w:val="21"/>
          <w:highlight w:val="none"/>
        </w:rPr>
        <w:t>第三章  施工进度网络图或带关键线路的横道图及相关说明</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根据招标人的工期要求和投标人的施工总体安排，规划施工关键线路，明确进度控制时间参数，绘制本工程施工总进度控制计划网络图（规定采用时标双代号网络图）和横道图，提出本工程总工期和关键节点工期控制措施，以及关键节点工期延误的回补措施。</w:t>
      </w:r>
    </w:p>
    <w:p>
      <w:pPr>
        <w:adjustRightInd w:val="0"/>
        <w:snapToGrid w:val="0"/>
        <w:spacing w:line="360" w:lineRule="auto"/>
        <w:rPr>
          <w:rFonts w:hint="eastAsia" w:ascii="宋体" w:hAnsi="宋体" w:eastAsia="宋体" w:cs="宋体"/>
          <w:b/>
          <w:szCs w:val="21"/>
          <w:highlight w:val="none"/>
        </w:rPr>
      </w:pPr>
      <w:r>
        <w:rPr>
          <w:rFonts w:hint="eastAsia" w:ascii="宋体" w:hAnsi="宋体" w:eastAsia="宋体" w:cs="宋体"/>
          <w:b/>
          <w:szCs w:val="21"/>
          <w:highlight w:val="none"/>
        </w:rPr>
        <w:t>第四章  主要机械设备需求计划表及相关说明</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主要机械设备配置数量合理且性能恰当。</w:t>
      </w:r>
    </w:p>
    <w:p>
      <w:pPr>
        <w:adjustRightInd w:val="0"/>
        <w:snapToGrid w:val="0"/>
        <w:spacing w:line="360" w:lineRule="auto"/>
        <w:rPr>
          <w:rFonts w:hint="eastAsia" w:ascii="宋体" w:hAnsi="宋体" w:eastAsia="宋体" w:cs="宋体"/>
          <w:b/>
          <w:szCs w:val="21"/>
          <w:highlight w:val="none"/>
        </w:rPr>
      </w:pPr>
      <w:r>
        <w:rPr>
          <w:rFonts w:hint="eastAsia" w:ascii="宋体" w:hAnsi="宋体" w:eastAsia="宋体" w:cs="宋体"/>
          <w:b/>
          <w:szCs w:val="21"/>
          <w:highlight w:val="none"/>
        </w:rPr>
        <w:t>第五章  劳动力需求计划表及相关说明</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主要施工阶段各工种人数合理且劳动力用工动态曲线变化规律合理。</w:t>
      </w:r>
    </w:p>
    <w:p>
      <w:pPr>
        <w:adjustRightInd w:val="0"/>
        <w:snapToGrid w:val="0"/>
        <w:spacing w:line="360" w:lineRule="auto"/>
        <w:rPr>
          <w:rFonts w:hint="eastAsia" w:ascii="宋体" w:hAnsi="宋体" w:eastAsia="宋体" w:cs="宋体"/>
          <w:b/>
          <w:szCs w:val="21"/>
          <w:highlight w:val="none"/>
        </w:rPr>
      </w:pPr>
      <w:r>
        <w:rPr>
          <w:rFonts w:hint="eastAsia" w:ascii="宋体" w:hAnsi="宋体" w:eastAsia="宋体" w:cs="宋体"/>
          <w:b/>
          <w:szCs w:val="21"/>
          <w:highlight w:val="none"/>
        </w:rPr>
        <w:t>第六章  周转材料需求计划表及相关说明</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主要周转材料品种、数量满足施工要求。</w:t>
      </w:r>
    </w:p>
    <w:p>
      <w:pPr>
        <w:adjustRightInd w:val="0"/>
        <w:snapToGrid w:val="0"/>
        <w:spacing w:line="360" w:lineRule="auto"/>
        <w:rPr>
          <w:rFonts w:hint="eastAsia" w:ascii="宋体" w:hAnsi="宋体" w:eastAsia="宋体" w:cs="宋体"/>
          <w:b/>
          <w:szCs w:val="21"/>
          <w:highlight w:val="none"/>
        </w:rPr>
      </w:pPr>
      <w:r>
        <w:rPr>
          <w:rFonts w:hint="eastAsia" w:ascii="宋体" w:hAnsi="宋体" w:eastAsia="宋体" w:cs="宋体"/>
          <w:b/>
          <w:szCs w:val="21"/>
          <w:highlight w:val="none"/>
        </w:rPr>
        <w:t>第七章  招标人要求编制的专项施工技术方案</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由招标人根据本身对本工程各分部分项（或专业）工程的注重程度，择选主要分部分项（或专业）工程，要求投标人分别提出简要的专项施工技术方案。当招标人未有择选时，由投标人无需编制。</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招标人择选的主要分部分项（或专业）工程：</w:t>
      </w:r>
    </w:p>
    <w:p>
      <w:pPr>
        <w:adjustRightInd w:val="0"/>
        <w:snapToGrid w:val="0"/>
        <w:spacing w:line="360" w:lineRule="auto"/>
        <w:ind w:firstLine="420" w:firstLineChars="200"/>
        <w:rPr>
          <w:rFonts w:hint="eastAsia" w:ascii="宋体" w:hAnsi="宋体" w:eastAsia="宋体" w:cs="宋体"/>
          <w:szCs w:val="21"/>
          <w:highlight w:val="none"/>
          <w:u w:val="single"/>
        </w:rPr>
      </w:pPr>
      <w:r>
        <w:rPr>
          <w:rFonts w:hint="eastAsia" w:ascii="宋体" w:hAnsi="宋体" w:eastAsia="宋体" w:cs="宋体"/>
          <w:szCs w:val="21"/>
          <w:highlight w:val="none"/>
          <w:u w:val="single"/>
        </w:rPr>
        <w:t xml:space="preserve">      </w:t>
      </w:r>
    </w:p>
    <w:p>
      <w:pPr>
        <w:adjustRightInd w:val="0"/>
        <w:snapToGrid w:val="0"/>
        <w:spacing w:line="360" w:lineRule="auto"/>
        <w:ind w:firstLine="420" w:firstLineChars="200"/>
        <w:rPr>
          <w:rFonts w:hint="eastAsia" w:ascii="宋体" w:hAnsi="宋体" w:eastAsia="宋体" w:cs="宋体"/>
          <w:szCs w:val="21"/>
          <w:highlight w:val="none"/>
          <w:u w:val="single"/>
          <w:lang w:eastAsia="zh-CN"/>
        </w:rPr>
      </w:pPr>
    </w:p>
    <w:p>
      <w:pPr>
        <w:adjustRightInd w:val="0"/>
        <w:snapToGrid w:val="0"/>
        <w:spacing w:line="360" w:lineRule="auto"/>
        <w:rPr>
          <w:rFonts w:hint="eastAsia" w:ascii="宋体" w:hAnsi="宋体" w:eastAsia="宋体" w:cs="宋体"/>
          <w:b/>
          <w:szCs w:val="21"/>
          <w:highlight w:val="none"/>
          <w:lang w:val="en-US" w:eastAsia="zh-CN"/>
        </w:rPr>
      </w:pPr>
      <w:r>
        <w:rPr>
          <w:rFonts w:hint="eastAsia" w:ascii="宋体" w:hAnsi="宋体" w:eastAsia="宋体" w:cs="宋体"/>
          <w:b/>
          <w:szCs w:val="21"/>
          <w:highlight w:val="none"/>
          <w:lang w:eastAsia="zh-CN"/>
        </w:rPr>
        <w:t>第八章</w:t>
      </w:r>
      <w:r>
        <w:rPr>
          <w:rFonts w:hint="eastAsia" w:ascii="宋体" w:hAnsi="宋体" w:eastAsia="宋体" w:cs="宋体"/>
          <w:b/>
          <w:szCs w:val="21"/>
          <w:highlight w:val="none"/>
          <w:lang w:val="en-US" w:eastAsia="zh-CN"/>
        </w:rPr>
        <w:t xml:space="preserve">  危大工程清单及安全管理措施（如有）</w:t>
      </w:r>
    </w:p>
    <w:p>
      <w:pPr>
        <w:adjustRightInd w:val="0"/>
        <w:snapToGrid w:val="0"/>
        <w:spacing w:line="36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招标人列出危大工程清单，投标人在投标时根据工程实际特点补充完善危大工程清单，并明确相应的安全管理措施。</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危大工程清单</w:t>
      </w:r>
    </w:p>
    <w:tbl>
      <w:tblPr>
        <w:tblStyle w:val="39"/>
        <w:tblW w:w="92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4615"/>
        <w:gridCol w:w="3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trPr>
        <w:tc>
          <w:tcPr>
            <w:tcW w:w="68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eastAsia="宋体" w:cs="宋体"/>
                <w:kern w:val="0"/>
                <w:sz w:val="21"/>
                <w:szCs w:val="21"/>
                <w:highlight w:val="none"/>
                <w:vertAlign w:val="baseline"/>
                <w:lang w:val="en-US" w:eastAsia="zh-CN"/>
              </w:rPr>
            </w:pPr>
            <w:r>
              <w:rPr>
                <w:rFonts w:hint="eastAsia" w:ascii="宋体" w:hAnsi="宋体" w:eastAsia="宋体" w:cs="宋体"/>
                <w:kern w:val="0"/>
                <w:sz w:val="21"/>
                <w:szCs w:val="21"/>
                <w:highlight w:val="none"/>
                <w:vertAlign w:val="baseline"/>
                <w:lang w:val="en-US" w:eastAsia="zh-CN"/>
              </w:rPr>
              <w:t>序号</w:t>
            </w:r>
          </w:p>
        </w:tc>
        <w:tc>
          <w:tcPr>
            <w:tcW w:w="4615"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eastAsia="宋体" w:cs="宋体"/>
                <w:kern w:val="0"/>
                <w:sz w:val="21"/>
                <w:szCs w:val="21"/>
                <w:highlight w:val="none"/>
                <w:vertAlign w:val="baseline"/>
                <w:lang w:val="en-US" w:eastAsia="zh-CN"/>
              </w:rPr>
            </w:pPr>
            <w:r>
              <w:rPr>
                <w:rFonts w:hint="eastAsia" w:ascii="宋体" w:hAnsi="宋体" w:eastAsia="宋体" w:cs="宋体"/>
                <w:kern w:val="0"/>
                <w:sz w:val="21"/>
                <w:szCs w:val="21"/>
                <w:highlight w:val="none"/>
                <w:vertAlign w:val="baseline"/>
                <w:lang w:val="en-US" w:eastAsia="zh-CN"/>
              </w:rPr>
              <w:t>危大工程</w:t>
            </w:r>
          </w:p>
        </w:tc>
        <w:tc>
          <w:tcPr>
            <w:tcW w:w="397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eastAsia="宋体" w:cs="宋体"/>
                <w:kern w:val="0"/>
                <w:sz w:val="21"/>
                <w:szCs w:val="21"/>
                <w:highlight w:val="none"/>
                <w:vertAlign w:val="baseline"/>
                <w:lang w:val="en-US" w:eastAsia="zh-CN"/>
              </w:rPr>
            </w:pPr>
            <w:r>
              <w:rPr>
                <w:rFonts w:hint="eastAsia" w:ascii="宋体" w:hAnsi="宋体" w:eastAsia="宋体" w:cs="宋体"/>
                <w:kern w:val="0"/>
                <w:sz w:val="21"/>
                <w:szCs w:val="21"/>
                <w:highlight w:val="none"/>
                <w:vertAlign w:val="baseline"/>
                <w:lang w:val="en-US" w:eastAsia="zh-CN"/>
              </w:rPr>
              <w:t>相关要求或说明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4" w:hRule="atLeast"/>
        </w:trPr>
        <w:tc>
          <w:tcPr>
            <w:tcW w:w="68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eastAsia="宋体" w:cs="宋体"/>
                <w:kern w:val="0"/>
                <w:sz w:val="21"/>
                <w:szCs w:val="21"/>
                <w:highlight w:val="none"/>
                <w:vertAlign w:val="baseline"/>
                <w:lang w:val="en-US" w:eastAsia="zh-CN"/>
              </w:rPr>
            </w:pPr>
          </w:p>
        </w:tc>
        <w:tc>
          <w:tcPr>
            <w:tcW w:w="4615"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eastAsia="宋体" w:cs="宋体"/>
                <w:kern w:val="0"/>
                <w:sz w:val="21"/>
                <w:szCs w:val="21"/>
                <w:highlight w:val="none"/>
                <w:vertAlign w:val="baseline"/>
                <w:lang w:val="en-US" w:eastAsia="zh-CN"/>
              </w:rPr>
            </w:pPr>
          </w:p>
        </w:tc>
        <w:tc>
          <w:tcPr>
            <w:tcW w:w="397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eastAsia="宋体" w:cs="宋体"/>
                <w:kern w:val="0"/>
                <w:sz w:val="21"/>
                <w:szCs w:val="21"/>
                <w:highlight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val="0"/>
        <w:snapToGrid w:val="0"/>
        <w:spacing w:line="360" w:lineRule="auto"/>
        <w:ind w:left="1260" w:leftChars="200" w:hanging="840" w:hangingChars="400"/>
        <w:textAlignment w:val="auto"/>
        <w:outlineLvl w:val="9"/>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备注：1.危险性较大的分部分项工程（简称危大工程）范围，详见《广东省住房和城乡建设厅关于印发房屋市政工程危险性较大的分部分项工程安全管理实施细则的通知》（粤建规范〔2019〕2号）；</w:t>
      </w:r>
    </w:p>
    <w:p>
      <w:pPr>
        <w:keepNext w:val="0"/>
        <w:keepLines w:val="0"/>
        <w:pageBreakBefore w:val="0"/>
        <w:widowControl w:val="0"/>
        <w:kinsoku/>
        <w:wordWrap/>
        <w:overflowPunct/>
        <w:topLinePunct w:val="0"/>
        <w:autoSpaceDE/>
        <w:autoSpaceDN/>
        <w:bidi w:val="0"/>
        <w:adjustRightInd w:val="0"/>
        <w:snapToGrid w:val="0"/>
        <w:spacing w:line="360" w:lineRule="auto"/>
        <w:ind w:firstLine="1050" w:firstLineChars="500"/>
        <w:textAlignment w:val="auto"/>
        <w:outlineLvl w:val="9"/>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2.招标人填写本清单，投标人根据工程实际特点补充完善并明确相应的安全管理措施。</w:t>
      </w:r>
    </w:p>
    <w:p>
      <w:pPr>
        <w:keepNext w:val="0"/>
        <w:keepLines w:val="0"/>
        <w:pageBreakBefore w:val="0"/>
        <w:widowControl w:val="0"/>
        <w:kinsoku/>
        <w:wordWrap/>
        <w:overflowPunct/>
        <w:topLinePunct w:val="0"/>
        <w:autoSpaceDE/>
        <w:autoSpaceDN/>
        <w:bidi w:val="0"/>
        <w:adjustRightInd w:val="0"/>
        <w:snapToGrid w:val="0"/>
        <w:spacing w:line="360" w:lineRule="auto"/>
        <w:ind w:firstLine="1050" w:firstLineChars="500"/>
        <w:textAlignment w:val="auto"/>
        <w:rPr>
          <w:rFonts w:hint="eastAsia" w:ascii="宋体" w:hAnsi="宋体" w:eastAsia="宋体" w:cs="宋体"/>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szCs w:val="21"/>
          <w:highlight w:val="none"/>
        </w:rPr>
        <w:t>“项目管理</w:t>
      </w:r>
      <w:r>
        <w:rPr>
          <w:rFonts w:hint="eastAsia" w:ascii="宋体" w:hAnsi="宋体" w:eastAsia="宋体" w:cs="宋体"/>
          <w:szCs w:val="21"/>
          <w:highlight w:val="none"/>
          <w:lang w:val="en-US" w:eastAsia="zh-CN"/>
        </w:rPr>
        <w:t>机构</w:t>
      </w:r>
      <w:r>
        <w:rPr>
          <w:rFonts w:hint="eastAsia" w:ascii="宋体" w:hAnsi="宋体" w:eastAsia="宋体" w:cs="宋体"/>
          <w:szCs w:val="21"/>
          <w:highlight w:val="none"/>
        </w:rPr>
        <w:t>配备”作为明标评审部分，需按照“电子投标文件编制系统”中【明标编辑】的要求以独立文件形式编制。</w:t>
      </w:r>
      <w:r>
        <w:rPr>
          <w:rFonts w:hint="eastAsia" w:ascii="宋体" w:hAnsi="宋体" w:eastAsia="宋体" w:cs="宋体"/>
          <w:highlight w:val="none"/>
        </w:rPr>
        <w:br w:type="page"/>
      </w:r>
    </w:p>
    <w:p>
      <w:pPr>
        <w:adjustRightInd w:val="0"/>
        <w:snapToGrid w:val="0"/>
        <w:spacing w:line="360" w:lineRule="auto"/>
        <w:ind w:firstLine="602" w:firstLineChars="200"/>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2.投入本招标工程的主要施工机械设备表</w:t>
      </w:r>
    </w:p>
    <w:tbl>
      <w:tblPr>
        <w:tblStyle w:val="39"/>
        <w:tblW w:w="92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722"/>
        <w:gridCol w:w="1072"/>
        <w:gridCol w:w="858"/>
        <w:gridCol w:w="858"/>
        <w:gridCol w:w="834"/>
        <w:gridCol w:w="1095"/>
        <w:gridCol w:w="1104"/>
        <w:gridCol w:w="1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4" w:type="dxa"/>
            <w:shd w:val="clear" w:color="auto" w:fill="auto"/>
            <w:vAlign w:val="center"/>
          </w:tcPr>
          <w:p>
            <w:pPr>
              <w:adjustRightInd w:val="0"/>
              <w:snapToGrid w:val="0"/>
              <w:jc w:val="center"/>
              <w:rPr>
                <w:rFonts w:ascii="Times New Roman" w:hAnsi="Times New Roman" w:eastAsia="宋体" w:cs="Courier New"/>
                <w:kern w:val="0"/>
                <w:sz w:val="21"/>
                <w:szCs w:val="21"/>
                <w:highlight w:val="none"/>
              </w:rPr>
            </w:pPr>
            <w:r>
              <w:rPr>
                <w:rFonts w:hint="eastAsia" w:ascii="Times New Roman" w:hAnsi="Times New Roman" w:eastAsia="宋体" w:cs="Courier New"/>
                <w:kern w:val="0"/>
                <w:sz w:val="21"/>
                <w:szCs w:val="21"/>
                <w:highlight w:val="none"/>
              </w:rPr>
              <w:t>序号</w:t>
            </w:r>
          </w:p>
        </w:tc>
        <w:tc>
          <w:tcPr>
            <w:tcW w:w="1722" w:type="dxa"/>
            <w:shd w:val="clear" w:color="auto" w:fill="auto"/>
            <w:vAlign w:val="center"/>
          </w:tcPr>
          <w:p>
            <w:pPr>
              <w:adjustRightInd w:val="0"/>
              <w:snapToGrid w:val="0"/>
              <w:jc w:val="center"/>
              <w:rPr>
                <w:rFonts w:ascii="Times New Roman" w:hAnsi="Times New Roman" w:eastAsia="宋体" w:cs="Courier New"/>
                <w:kern w:val="0"/>
                <w:sz w:val="21"/>
                <w:szCs w:val="21"/>
                <w:highlight w:val="none"/>
              </w:rPr>
            </w:pPr>
            <w:r>
              <w:rPr>
                <w:rFonts w:hint="eastAsia" w:ascii="Times New Roman" w:hAnsi="Times New Roman" w:eastAsia="宋体" w:cs="Courier New"/>
                <w:kern w:val="0"/>
                <w:sz w:val="21"/>
                <w:szCs w:val="21"/>
                <w:highlight w:val="none"/>
              </w:rPr>
              <w:t>机械设备名称</w:t>
            </w:r>
          </w:p>
        </w:tc>
        <w:tc>
          <w:tcPr>
            <w:tcW w:w="1072" w:type="dxa"/>
            <w:shd w:val="clear" w:color="auto" w:fill="auto"/>
            <w:vAlign w:val="center"/>
          </w:tcPr>
          <w:p>
            <w:pPr>
              <w:adjustRightInd w:val="0"/>
              <w:snapToGrid w:val="0"/>
              <w:jc w:val="center"/>
              <w:rPr>
                <w:rFonts w:ascii="Times New Roman" w:hAnsi="Times New Roman" w:eastAsia="宋体" w:cs="Courier New"/>
                <w:kern w:val="0"/>
                <w:sz w:val="21"/>
                <w:szCs w:val="21"/>
                <w:highlight w:val="none"/>
              </w:rPr>
            </w:pPr>
            <w:r>
              <w:rPr>
                <w:rFonts w:hint="eastAsia" w:ascii="Times New Roman" w:hAnsi="Times New Roman" w:eastAsia="宋体" w:cs="Courier New"/>
                <w:kern w:val="0"/>
                <w:sz w:val="21"/>
                <w:szCs w:val="21"/>
                <w:highlight w:val="none"/>
              </w:rPr>
              <w:t>型号</w:t>
            </w:r>
          </w:p>
          <w:p>
            <w:pPr>
              <w:adjustRightInd w:val="0"/>
              <w:snapToGrid w:val="0"/>
              <w:jc w:val="center"/>
              <w:rPr>
                <w:rFonts w:ascii="Times New Roman" w:hAnsi="Times New Roman" w:eastAsia="宋体" w:cs="Courier New"/>
                <w:kern w:val="0"/>
                <w:sz w:val="21"/>
                <w:szCs w:val="21"/>
                <w:highlight w:val="none"/>
              </w:rPr>
            </w:pPr>
            <w:r>
              <w:rPr>
                <w:rFonts w:hint="eastAsia" w:ascii="Times New Roman" w:hAnsi="Times New Roman" w:eastAsia="宋体" w:cs="Courier New"/>
                <w:kern w:val="0"/>
                <w:sz w:val="21"/>
                <w:szCs w:val="21"/>
                <w:highlight w:val="none"/>
              </w:rPr>
              <w:t>规格</w:t>
            </w:r>
          </w:p>
        </w:tc>
        <w:tc>
          <w:tcPr>
            <w:tcW w:w="858" w:type="dxa"/>
            <w:shd w:val="clear" w:color="auto" w:fill="auto"/>
            <w:vAlign w:val="center"/>
          </w:tcPr>
          <w:p>
            <w:pPr>
              <w:adjustRightInd w:val="0"/>
              <w:snapToGrid w:val="0"/>
              <w:jc w:val="center"/>
              <w:rPr>
                <w:rFonts w:ascii="Times New Roman" w:hAnsi="Times New Roman" w:eastAsia="宋体" w:cs="Courier New"/>
                <w:kern w:val="0"/>
                <w:sz w:val="21"/>
                <w:szCs w:val="21"/>
                <w:highlight w:val="none"/>
              </w:rPr>
            </w:pPr>
            <w:r>
              <w:rPr>
                <w:rFonts w:hint="eastAsia" w:ascii="Times New Roman" w:hAnsi="Times New Roman" w:eastAsia="宋体" w:cs="Courier New"/>
                <w:kern w:val="0"/>
                <w:sz w:val="21"/>
                <w:szCs w:val="21"/>
                <w:highlight w:val="none"/>
              </w:rPr>
              <w:t>数量</w:t>
            </w:r>
          </w:p>
        </w:tc>
        <w:tc>
          <w:tcPr>
            <w:tcW w:w="858" w:type="dxa"/>
            <w:shd w:val="clear" w:color="auto" w:fill="auto"/>
            <w:vAlign w:val="center"/>
          </w:tcPr>
          <w:p>
            <w:pPr>
              <w:adjustRightInd w:val="0"/>
              <w:snapToGrid w:val="0"/>
              <w:jc w:val="center"/>
              <w:rPr>
                <w:rFonts w:ascii="Times New Roman" w:hAnsi="Times New Roman" w:eastAsia="宋体" w:cs="Courier New"/>
                <w:kern w:val="0"/>
                <w:sz w:val="21"/>
                <w:szCs w:val="21"/>
                <w:highlight w:val="none"/>
              </w:rPr>
            </w:pPr>
            <w:r>
              <w:rPr>
                <w:rFonts w:hint="eastAsia" w:ascii="Times New Roman" w:hAnsi="Times New Roman" w:eastAsia="宋体" w:cs="Courier New"/>
                <w:kern w:val="0"/>
                <w:sz w:val="21"/>
                <w:szCs w:val="21"/>
                <w:highlight w:val="none"/>
              </w:rPr>
              <w:t>国别</w:t>
            </w:r>
          </w:p>
          <w:p>
            <w:pPr>
              <w:adjustRightInd w:val="0"/>
              <w:snapToGrid w:val="0"/>
              <w:jc w:val="center"/>
              <w:rPr>
                <w:rFonts w:ascii="Times New Roman" w:hAnsi="Times New Roman" w:eastAsia="宋体" w:cs="Courier New"/>
                <w:kern w:val="0"/>
                <w:sz w:val="21"/>
                <w:szCs w:val="21"/>
                <w:highlight w:val="none"/>
              </w:rPr>
            </w:pPr>
            <w:r>
              <w:rPr>
                <w:rFonts w:hint="eastAsia" w:ascii="Times New Roman" w:hAnsi="Times New Roman" w:eastAsia="宋体" w:cs="Courier New"/>
                <w:kern w:val="0"/>
                <w:sz w:val="21"/>
                <w:szCs w:val="21"/>
                <w:highlight w:val="none"/>
              </w:rPr>
              <w:t>产地</w:t>
            </w:r>
          </w:p>
        </w:tc>
        <w:tc>
          <w:tcPr>
            <w:tcW w:w="834" w:type="dxa"/>
            <w:shd w:val="clear" w:color="auto" w:fill="auto"/>
            <w:vAlign w:val="center"/>
          </w:tcPr>
          <w:p>
            <w:pPr>
              <w:adjustRightInd w:val="0"/>
              <w:snapToGrid w:val="0"/>
              <w:jc w:val="center"/>
              <w:rPr>
                <w:rFonts w:ascii="Times New Roman" w:hAnsi="Times New Roman" w:eastAsia="宋体" w:cs="Courier New"/>
                <w:kern w:val="0"/>
                <w:sz w:val="21"/>
                <w:szCs w:val="21"/>
                <w:highlight w:val="none"/>
              </w:rPr>
            </w:pPr>
            <w:r>
              <w:rPr>
                <w:rFonts w:hint="eastAsia" w:ascii="Times New Roman" w:hAnsi="Times New Roman" w:eastAsia="宋体" w:cs="Courier New"/>
                <w:kern w:val="0"/>
                <w:sz w:val="21"/>
                <w:szCs w:val="21"/>
                <w:highlight w:val="none"/>
              </w:rPr>
              <w:t>制造</w:t>
            </w:r>
          </w:p>
          <w:p>
            <w:pPr>
              <w:adjustRightInd w:val="0"/>
              <w:snapToGrid w:val="0"/>
              <w:jc w:val="center"/>
              <w:rPr>
                <w:rFonts w:ascii="Times New Roman" w:hAnsi="Times New Roman" w:eastAsia="宋体" w:cs="Courier New"/>
                <w:kern w:val="0"/>
                <w:sz w:val="21"/>
                <w:szCs w:val="21"/>
                <w:highlight w:val="none"/>
              </w:rPr>
            </w:pPr>
            <w:r>
              <w:rPr>
                <w:rFonts w:hint="eastAsia" w:ascii="Times New Roman" w:hAnsi="Times New Roman" w:eastAsia="宋体" w:cs="Courier New"/>
                <w:kern w:val="0"/>
                <w:sz w:val="21"/>
                <w:szCs w:val="21"/>
                <w:highlight w:val="none"/>
              </w:rPr>
              <w:t>年份</w:t>
            </w:r>
          </w:p>
        </w:tc>
        <w:tc>
          <w:tcPr>
            <w:tcW w:w="1095" w:type="dxa"/>
            <w:shd w:val="clear" w:color="auto" w:fill="auto"/>
            <w:vAlign w:val="center"/>
          </w:tcPr>
          <w:p>
            <w:pPr>
              <w:adjustRightInd w:val="0"/>
              <w:snapToGrid w:val="0"/>
              <w:jc w:val="center"/>
              <w:rPr>
                <w:rFonts w:ascii="Times New Roman" w:hAnsi="Times New Roman" w:eastAsia="宋体" w:cs="Courier New"/>
                <w:kern w:val="0"/>
                <w:sz w:val="21"/>
                <w:szCs w:val="21"/>
                <w:highlight w:val="none"/>
              </w:rPr>
            </w:pPr>
            <w:r>
              <w:rPr>
                <w:rFonts w:hint="eastAsia" w:ascii="Times New Roman" w:hAnsi="Times New Roman" w:eastAsia="宋体" w:cs="Courier New"/>
                <w:kern w:val="0"/>
                <w:sz w:val="21"/>
                <w:szCs w:val="21"/>
                <w:highlight w:val="none"/>
              </w:rPr>
              <w:t>额定功率（KW）</w:t>
            </w:r>
          </w:p>
        </w:tc>
        <w:tc>
          <w:tcPr>
            <w:tcW w:w="1104" w:type="dxa"/>
            <w:shd w:val="clear" w:color="auto" w:fill="auto"/>
            <w:vAlign w:val="center"/>
          </w:tcPr>
          <w:p>
            <w:pPr>
              <w:adjustRightInd w:val="0"/>
              <w:snapToGrid w:val="0"/>
              <w:jc w:val="center"/>
              <w:rPr>
                <w:rFonts w:ascii="Times New Roman" w:hAnsi="Times New Roman" w:eastAsia="宋体" w:cs="Courier New"/>
                <w:kern w:val="0"/>
                <w:sz w:val="21"/>
                <w:szCs w:val="21"/>
                <w:highlight w:val="none"/>
              </w:rPr>
            </w:pPr>
            <w:r>
              <w:rPr>
                <w:rFonts w:hint="eastAsia" w:ascii="Times New Roman" w:hAnsi="Times New Roman" w:eastAsia="宋体" w:cs="Courier New"/>
                <w:kern w:val="0"/>
                <w:sz w:val="21"/>
                <w:szCs w:val="21"/>
                <w:highlight w:val="none"/>
              </w:rPr>
              <w:t>生产</w:t>
            </w:r>
          </w:p>
          <w:p>
            <w:pPr>
              <w:adjustRightInd w:val="0"/>
              <w:snapToGrid w:val="0"/>
              <w:jc w:val="center"/>
              <w:rPr>
                <w:rFonts w:ascii="Times New Roman" w:hAnsi="Times New Roman" w:eastAsia="宋体" w:cs="Courier New"/>
                <w:kern w:val="0"/>
                <w:sz w:val="21"/>
                <w:szCs w:val="21"/>
                <w:highlight w:val="none"/>
              </w:rPr>
            </w:pPr>
            <w:r>
              <w:rPr>
                <w:rFonts w:hint="eastAsia" w:ascii="Times New Roman" w:hAnsi="Times New Roman" w:eastAsia="宋体" w:cs="Courier New"/>
                <w:kern w:val="0"/>
                <w:sz w:val="21"/>
                <w:szCs w:val="21"/>
                <w:highlight w:val="none"/>
              </w:rPr>
              <w:t>能力</w:t>
            </w:r>
          </w:p>
        </w:tc>
        <w:tc>
          <w:tcPr>
            <w:tcW w:w="1072" w:type="dxa"/>
            <w:shd w:val="clear" w:color="auto" w:fill="auto"/>
            <w:vAlign w:val="center"/>
          </w:tcPr>
          <w:p>
            <w:pPr>
              <w:adjustRightInd w:val="0"/>
              <w:snapToGrid w:val="0"/>
              <w:jc w:val="center"/>
              <w:rPr>
                <w:rFonts w:ascii="Times New Roman" w:hAnsi="Times New Roman" w:eastAsia="宋体" w:cs="Courier New"/>
                <w:kern w:val="0"/>
                <w:sz w:val="21"/>
                <w:szCs w:val="21"/>
                <w:highlight w:val="none"/>
              </w:rPr>
            </w:pPr>
            <w:r>
              <w:rPr>
                <w:rFonts w:hint="eastAsia" w:ascii="Times New Roman" w:hAnsi="Times New Roman" w:eastAsia="宋体" w:cs="Courier New"/>
                <w:kern w:val="0"/>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72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3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95"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10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72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3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95"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10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72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3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95"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10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72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3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95"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10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72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3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95"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10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72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3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95"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10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72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3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95"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10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72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3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95"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10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72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3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95"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10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72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3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95"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10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72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3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95"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10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72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3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95"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10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72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3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95"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10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72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3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95"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10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72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3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95"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10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72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3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95"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10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72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3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95"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10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72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3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95"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10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67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72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5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83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95"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104"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107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bl>
    <w:p>
      <w:pPr>
        <w:spacing w:line="20" w:lineRule="exact"/>
        <w:rPr>
          <w:highlight w:val="none"/>
        </w:rPr>
      </w:pPr>
      <w:r>
        <w:rPr>
          <w:highlight w:val="none"/>
        </w:rPr>
        <w:br w:type="page"/>
      </w:r>
    </w:p>
    <w:p>
      <w:pPr>
        <w:adjustRightInd w:val="0"/>
        <w:snapToGrid w:val="0"/>
        <w:spacing w:line="360" w:lineRule="auto"/>
        <w:ind w:firstLine="602" w:firstLineChars="200"/>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3.劳动力安排计划表</w:t>
      </w:r>
    </w:p>
    <w:p>
      <w:pPr>
        <w:adjustRightInd w:val="0"/>
        <w:snapToGrid w:val="0"/>
        <w:spacing w:line="360" w:lineRule="auto"/>
        <w:ind w:firstLine="8085" w:firstLineChars="3850"/>
        <w:rPr>
          <w:rFonts w:hint="eastAsia" w:ascii="宋体" w:hAnsi="宋体" w:eastAsia="宋体" w:cs="宋体"/>
          <w:szCs w:val="21"/>
          <w:highlight w:val="none"/>
        </w:rPr>
      </w:pPr>
      <w:r>
        <w:rPr>
          <w:rFonts w:hint="eastAsia" w:ascii="宋体" w:hAnsi="宋体" w:eastAsia="宋体" w:cs="宋体"/>
          <w:szCs w:val="21"/>
          <w:highlight w:val="none"/>
        </w:rPr>
        <w:t>单位：人</w:t>
      </w:r>
    </w:p>
    <w:tbl>
      <w:tblPr>
        <w:tblStyle w:val="39"/>
        <w:tblW w:w="92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4"/>
        <w:gridCol w:w="1159"/>
        <w:gridCol w:w="1161"/>
        <w:gridCol w:w="1161"/>
        <w:gridCol w:w="1161"/>
        <w:gridCol w:w="1161"/>
        <w:gridCol w:w="1161"/>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164" w:type="dxa"/>
            <w:vMerge w:val="restart"/>
            <w:shd w:val="clear" w:color="auto" w:fill="auto"/>
            <w:vAlign w:val="center"/>
          </w:tcPr>
          <w:p>
            <w:pPr>
              <w:adjustRightInd w:val="0"/>
              <w:snapToGrid w:val="0"/>
              <w:jc w:val="center"/>
              <w:rPr>
                <w:rFonts w:ascii="Times New Roman" w:hAnsi="Times New Roman" w:eastAsia="宋体" w:cs="Courier New"/>
                <w:kern w:val="0"/>
                <w:sz w:val="21"/>
                <w:szCs w:val="21"/>
                <w:highlight w:val="none"/>
              </w:rPr>
            </w:pPr>
            <w:r>
              <w:rPr>
                <w:rFonts w:hint="eastAsia" w:ascii="Times New Roman" w:hAnsi="Times New Roman" w:eastAsia="宋体" w:cs="Courier New"/>
                <w:kern w:val="0"/>
                <w:sz w:val="21"/>
                <w:szCs w:val="21"/>
                <w:highlight w:val="none"/>
              </w:rPr>
              <w:t>工 种</w:t>
            </w:r>
          </w:p>
          <w:p>
            <w:pPr>
              <w:adjustRightInd w:val="0"/>
              <w:snapToGrid w:val="0"/>
              <w:jc w:val="center"/>
              <w:rPr>
                <w:rFonts w:ascii="Times New Roman" w:hAnsi="Times New Roman" w:eastAsia="宋体" w:cs="Courier New"/>
                <w:kern w:val="0"/>
                <w:sz w:val="21"/>
                <w:szCs w:val="21"/>
                <w:highlight w:val="none"/>
              </w:rPr>
            </w:pPr>
            <w:r>
              <w:rPr>
                <w:rFonts w:hint="eastAsia" w:ascii="Times New Roman" w:hAnsi="Times New Roman" w:eastAsia="宋体" w:cs="Courier New"/>
                <w:kern w:val="0"/>
                <w:sz w:val="21"/>
                <w:szCs w:val="21"/>
                <w:highlight w:val="none"/>
              </w:rPr>
              <w:t>级 别</w:t>
            </w:r>
          </w:p>
        </w:tc>
        <w:tc>
          <w:tcPr>
            <w:tcW w:w="8123" w:type="dxa"/>
            <w:gridSpan w:val="7"/>
            <w:shd w:val="clear" w:color="auto" w:fill="auto"/>
            <w:vAlign w:val="center"/>
          </w:tcPr>
          <w:p>
            <w:pPr>
              <w:adjustRightInd w:val="0"/>
              <w:snapToGrid w:val="0"/>
              <w:jc w:val="center"/>
              <w:rPr>
                <w:rFonts w:ascii="Times New Roman" w:hAnsi="Times New Roman" w:eastAsia="宋体" w:cs="Courier New"/>
                <w:kern w:val="0"/>
                <w:sz w:val="21"/>
                <w:szCs w:val="21"/>
                <w:highlight w:val="none"/>
              </w:rPr>
            </w:pPr>
            <w:r>
              <w:rPr>
                <w:rFonts w:hint="eastAsia" w:ascii="Times New Roman" w:hAnsi="Times New Roman" w:eastAsia="宋体" w:cs="Courier New"/>
                <w:kern w:val="0"/>
                <w:sz w:val="21"/>
                <w:szCs w:val="21"/>
                <w:highlight w:val="none"/>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164" w:type="dxa"/>
            <w:vMerge w:val="continue"/>
            <w:shd w:val="clear" w:color="auto" w:fill="auto"/>
            <w:vAlign w:val="center"/>
          </w:tcPr>
          <w:p>
            <w:pPr>
              <w:adjustRightInd w:val="0"/>
              <w:snapToGrid w:val="0"/>
              <w:jc w:val="center"/>
              <w:rPr>
                <w:rFonts w:ascii="Times New Roman" w:hAnsi="Times New Roman" w:eastAsia="宋体" w:cs="Courier New"/>
                <w:kern w:val="0"/>
                <w:sz w:val="21"/>
                <w:szCs w:val="21"/>
                <w:highlight w:val="none"/>
              </w:rPr>
            </w:pPr>
          </w:p>
        </w:tc>
        <w:tc>
          <w:tcPr>
            <w:tcW w:w="1159" w:type="dxa"/>
            <w:shd w:val="clear" w:color="auto" w:fill="auto"/>
            <w:vAlign w:val="center"/>
          </w:tcPr>
          <w:p>
            <w:pPr>
              <w:adjustRightInd w:val="0"/>
              <w:snapToGrid w:val="0"/>
              <w:jc w:val="center"/>
              <w:rPr>
                <w:rFonts w:ascii="Times New Roman" w:hAnsi="Times New Roman" w:eastAsia="宋体" w:cs="Courier New"/>
                <w:kern w:val="0"/>
                <w:sz w:val="21"/>
                <w:szCs w:val="21"/>
                <w:highlight w:val="none"/>
              </w:rPr>
            </w:pPr>
          </w:p>
        </w:tc>
        <w:tc>
          <w:tcPr>
            <w:tcW w:w="1161" w:type="dxa"/>
            <w:shd w:val="clear" w:color="auto" w:fill="auto"/>
            <w:vAlign w:val="center"/>
          </w:tcPr>
          <w:p>
            <w:pPr>
              <w:adjustRightInd w:val="0"/>
              <w:snapToGrid w:val="0"/>
              <w:jc w:val="center"/>
              <w:rPr>
                <w:rFonts w:ascii="Times New Roman" w:hAnsi="Times New Roman" w:eastAsia="宋体" w:cs="Courier New"/>
                <w:kern w:val="0"/>
                <w:sz w:val="21"/>
                <w:szCs w:val="21"/>
                <w:highlight w:val="none"/>
              </w:rPr>
            </w:pPr>
          </w:p>
        </w:tc>
        <w:tc>
          <w:tcPr>
            <w:tcW w:w="1161" w:type="dxa"/>
            <w:shd w:val="clear" w:color="auto" w:fill="auto"/>
            <w:vAlign w:val="center"/>
          </w:tcPr>
          <w:p>
            <w:pPr>
              <w:adjustRightInd w:val="0"/>
              <w:snapToGrid w:val="0"/>
              <w:jc w:val="center"/>
              <w:rPr>
                <w:rFonts w:ascii="Times New Roman" w:hAnsi="Times New Roman" w:eastAsia="宋体" w:cs="Courier New"/>
                <w:kern w:val="0"/>
                <w:sz w:val="21"/>
                <w:szCs w:val="21"/>
                <w:highlight w:val="none"/>
              </w:rPr>
            </w:pPr>
          </w:p>
        </w:tc>
        <w:tc>
          <w:tcPr>
            <w:tcW w:w="1161" w:type="dxa"/>
            <w:shd w:val="clear" w:color="auto" w:fill="auto"/>
            <w:vAlign w:val="center"/>
          </w:tcPr>
          <w:p>
            <w:pPr>
              <w:adjustRightInd w:val="0"/>
              <w:snapToGrid w:val="0"/>
              <w:jc w:val="center"/>
              <w:rPr>
                <w:rFonts w:ascii="Times New Roman" w:hAnsi="Times New Roman" w:eastAsia="宋体" w:cs="Courier New"/>
                <w:kern w:val="0"/>
                <w:sz w:val="21"/>
                <w:szCs w:val="21"/>
                <w:highlight w:val="none"/>
              </w:rPr>
            </w:pPr>
          </w:p>
        </w:tc>
        <w:tc>
          <w:tcPr>
            <w:tcW w:w="1161" w:type="dxa"/>
            <w:shd w:val="clear" w:color="auto" w:fill="auto"/>
            <w:vAlign w:val="center"/>
          </w:tcPr>
          <w:p>
            <w:pPr>
              <w:adjustRightInd w:val="0"/>
              <w:snapToGrid w:val="0"/>
              <w:jc w:val="center"/>
              <w:rPr>
                <w:rFonts w:ascii="Times New Roman" w:hAnsi="Times New Roman" w:eastAsia="宋体" w:cs="Courier New"/>
                <w:kern w:val="0"/>
                <w:sz w:val="21"/>
                <w:szCs w:val="21"/>
                <w:highlight w:val="none"/>
              </w:rPr>
            </w:pPr>
          </w:p>
        </w:tc>
        <w:tc>
          <w:tcPr>
            <w:tcW w:w="1161" w:type="dxa"/>
            <w:shd w:val="clear" w:color="auto" w:fill="auto"/>
            <w:vAlign w:val="center"/>
          </w:tcPr>
          <w:p>
            <w:pPr>
              <w:adjustRightInd w:val="0"/>
              <w:snapToGrid w:val="0"/>
              <w:jc w:val="center"/>
              <w:rPr>
                <w:rFonts w:ascii="Times New Roman" w:hAnsi="Times New Roman" w:eastAsia="宋体" w:cs="Courier New"/>
                <w:kern w:val="0"/>
                <w:sz w:val="21"/>
                <w:szCs w:val="21"/>
                <w:highlight w:val="none"/>
              </w:rPr>
            </w:pPr>
          </w:p>
        </w:tc>
        <w:tc>
          <w:tcPr>
            <w:tcW w:w="1159" w:type="dxa"/>
            <w:shd w:val="clear" w:color="auto" w:fill="auto"/>
            <w:vAlign w:val="center"/>
          </w:tcPr>
          <w:p>
            <w:pPr>
              <w:adjustRightInd w:val="0"/>
              <w:snapToGrid w:val="0"/>
              <w:jc w:val="center"/>
              <w:rPr>
                <w:rFonts w:ascii="Times New Roman" w:hAnsi="Times New Roman" w:eastAsia="宋体" w:cs="Courier New"/>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164"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59"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59"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164"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59"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59"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164"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59"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59"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164"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59"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59"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164"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59"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59"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164"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59"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59"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164"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59"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59"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164"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59"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59"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164"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59"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59"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164"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59"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59"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164"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59"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59"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164"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59"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59"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164"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59"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59"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164"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59"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59"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164"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59"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59"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164"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59"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59"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164"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59"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61"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c>
          <w:tcPr>
            <w:tcW w:w="1159" w:type="dxa"/>
            <w:shd w:val="clear" w:color="auto" w:fill="auto"/>
            <w:vAlign w:val="center"/>
          </w:tcPr>
          <w:p>
            <w:pPr>
              <w:adjustRightInd w:val="0"/>
              <w:snapToGrid w:val="0"/>
              <w:spacing w:line="360" w:lineRule="auto"/>
              <w:rPr>
                <w:rFonts w:ascii="Times New Roman" w:hAnsi="Times New Roman" w:eastAsia="宋体" w:cs="Courier New"/>
                <w:kern w:val="0"/>
                <w:sz w:val="20"/>
                <w:szCs w:val="20"/>
                <w:highlight w:val="none"/>
              </w:rPr>
            </w:pPr>
          </w:p>
        </w:tc>
      </w:tr>
    </w:tbl>
    <w:p>
      <w:pPr>
        <w:adjustRightInd w:val="0"/>
        <w:snapToGrid w:val="0"/>
        <w:spacing w:line="360" w:lineRule="auto"/>
        <w:rPr>
          <w:rFonts w:hint="eastAsia" w:ascii="楷体_GB2312" w:hAnsi="楷体_GB2312" w:eastAsia="楷体_GB2312" w:cs="楷体_GB2312"/>
          <w:szCs w:val="21"/>
          <w:highlight w:val="none"/>
        </w:rPr>
      </w:pPr>
      <w:r>
        <w:rPr>
          <w:rFonts w:hint="eastAsia" w:ascii="楷体_GB2312" w:hAnsi="楷体_GB2312" w:eastAsia="楷体_GB2312" w:cs="楷体_GB2312"/>
          <w:szCs w:val="21"/>
          <w:highlight w:val="none"/>
        </w:rPr>
        <w:t>注：投标人应接所列格式提交包括分包人在内的估计的劳动力计划表；</w:t>
      </w:r>
    </w:p>
    <w:p>
      <w:pPr>
        <w:adjustRightInd w:val="0"/>
        <w:snapToGrid w:val="0"/>
        <w:spacing w:line="360" w:lineRule="auto"/>
        <w:ind w:firstLine="420" w:firstLineChars="200"/>
        <w:rPr>
          <w:rFonts w:ascii="楷体_GB2312" w:eastAsia="楷体_GB2312"/>
          <w:highlight w:val="none"/>
        </w:rPr>
      </w:pPr>
      <w:r>
        <w:rPr>
          <w:rFonts w:hint="eastAsia" w:ascii="楷体_GB2312" w:hAnsi="楷体_GB2312" w:eastAsia="楷体_GB2312" w:cs="楷体_GB2312"/>
          <w:szCs w:val="21"/>
          <w:highlight w:val="none"/>
        </w:rPr>
        <w:t>本计划表是以每班八小时工作制为基础的。</w:t>
      </w:r>
      <w:r>
        <w:rPr>
          <w:rFonts w:ascii="楷体_GB2312" w:eastAsia="楷体_GB2312"/>
          <w:highlight w:val="none"/>
        </w:rPr>
        <w:br w:type="page"/>
      </w:r>
    </w:p>
    <w:p>
      <w:pPr>
        <w:adjustRightInd w:val="0"/>
        <w:snapToGrid w:val="0"/>
        <w:spacing w:line="360" w:lineRule="auto"/>
        <w:ind w:firstLine="602" w:firstLineChars="200"/>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4.计划开、竣工日期和施工进度网络图</w:t>
      </w:r>
    </w:p>
    <w:p>
      <w:pPr>
        <w:adjustRightInd w:val="0"/>
        <w:snapToGrid w:val="0"/>
        <w:spacing w:line="360" w:lineRule="auto"/>
        <w:ind w:firstLine="480"/>
        <w:rPr>
          <w:highlight w:val="none"/>
        </w:rPr>
      </w:pPr>
      <w:r>
        <w:rPr>
          <w:rFonts w:hint="eastAsia"/>
          <w:highlight w:val="none"/>
        </w:rPr>
        <w:t>…………</w:t>
      </w:r>
    </w:p>
    <w:p>
      <w:pPr>
        <w:adjustRightInd w:val="0"/>
        <w:snapToGrid w:val="0"/>
        <w:spacing w:line="360" w:lineRule="auto"/>
        <w:ind w:firstLine="480"/>
        <w:rPr>
          <w:highlight w:val="none"/>
        </w:rPr>
      </w:pPr>
    </w:p>
    <w:p>
      <w:pPr>
        <w:adjustRightInd w:val="0"/>
        <w:snapToGrid w:val="0"/>
        <w:spacing w:line="360" w:lineRule="auto"/>
        <w:ind w:firstLine="420" w:firstLineChars="200"/>
        <w:rPr>
          <w:rFonts w:ascii="楷体_GB2312" w:eastAsia="楷体_GB2312"/>
          <w:szCs w:val="21"/>
          <w:highlight w:val="none"/>
        </w:rPr>
      </w:pPr>
      <w:r>
        <w:rPr>
          <w:rFonts w:hint="eastAsia" w:ascii="楷体_GB2312" w:eastAsia="楷体_GB2312"/>
          <w:szCs w:val="21"/>
          <w:highlight w:val="none"/>
        </w:rPr>
        <w:t>注：投标人应提交的施工进度网络图或施工进度表，说明按招标文件要求的工期进行施工的各个关键日期。中标的投标人还要按合同条件有关条款的要求提交详细的施工进度计划。</w:t>
      </w:r>
    </w:p>
    <w:p>
      <w:pPr>
        <w:adjustRightInd w:val="0"/>
        <w:snapToGrid w:val="0"/>
        <w:spacing w:line="360" w:lineRule="auto"/>
        <w:ind w:firstLine="420" w:firstLineChars="200"/>
        <w:rPr>
          <w:rFonts w:ascii="楷体_GB2312" w:eastAsia="楷体_GB2312"/>
          <w:szCs w:val="21"/>
          <w:highlight w:val="none"/>
        </w:rPr>
      </w:pPr>
      <w:r>
        <w:rPr>
          <w:rFonts w:hint="eastAsia" w:ascii="楷体_GB2312" w:eastAsia="楷体_GB2312"/>
          <w:szCs w:val="21"/>
          <w:highlight w:val="none"/>
        </w:rPr>
        <w:t>施工进度表可采用关键线路网络图（或横道图）表示，说明计划开工日期和各分项工程各阶段的完工日期和分包合同签订的日期。</w:t>
      </w:r>
    </w:p>
    <w:p>
      <w:pPr>
        <w:adjustRightInd w:val="0"/>
        <w:snapToGrid w:val="0"/>
        <w:spacing w:line="360" w:lineRule="auto"/>
        <w:ind w:firstLine="420" w:firstLineChars="200"/>
        <w:rPr>
          <w:rFonts w:ascii="楷体_GB2312" w:eastAsia="楷体_GB2312"/>
          <w:highlight w:val="none"/>
        </w:rPr>
      </w:pPr>
      <w:r>
        <w:rPr>
          <w:rFonts w:hint="eastAsia" w:ascii="楷体_GB2312" w:eastAsia="楷体_GB2312"/>
          <w:szCs w:val="21"/>
          <w:highlight w:val="none"/>
        </w:rPr>
        <w:t>施工进度计划应与施工组织设计或施工方案相适应。</w:t>
      </w:r>
      <w:r>
        <w:rPr>
          <w:rFonts w:ascii="楷体_GB2312" w:eastAsia="楷体_GB2312"/>
          <w:highlight w:val="none"/>
        </w:rPr>
        <w:br w:type="page"/>
      </w:r>
    </w:p>
    <w:p>
      <w:pPr>
        <w:adjustRightInd w:val="0"/>
        <w:snapToGrid w:val="0"/>
        <w:spacing w:line="360" w:lineRule="auto"/>
        <w:ind w:firstLine="602" w:firstLineChars="200"/>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5.施工总平面布置图</w:t>
      </w:r>
    </w:p>
    <w:p>
      <w:pPr>
        <w:adjustRightInd w:val="0"/>
        <w:snapToGrid w:val="0"/>
        <w:spacing w:line="360" w:lineRule="auto"/>
        <w:ind w:firstLine="420" w:firstLineChars="200"/>
        <w:rPr>
          <w:highlight w:val="none"/>
        </w:rPr>
      </w:pPr>
      <w:r>
        <w:rPr>
          <w:rFonts w:hint="eastAsia"/>
          <w:highlight w:val="none"/>
        </w:rPr>
        <w:t>…………</w:t>
      </w:r>
    </w:p>
    <w:p>
      <w:pPr>
        <w:adjustRightInd w:val="0"/>
        <w:snapToGrid w:val="0"/>
        <w:spacing w:line="360" w:lineRule="auto"/>
        <w:ind w:firstLine="420" w:firstLineChars="200"/>
        <w:rPr>
          <w:rFonts w:ascii="楷体_GB2312" w:eastAsia="楷体_GB2312"/>
          <w:highlight w:val="none"/>
        </w:rPr>
      </w:pPr>
      <w:r>
        <w:rPr>
          <w:rFonts w:hint="eastAsia" w:ascii="楷体_GB2312" w:eastAsia="楷体_GB2312"/>
          <w:szCs w:val="21"/>
          <w:highlight w:val="none"/>
        </w:rPr>
        <w:t>注：投标人应提交一份施工总平面图，给出现场临时设施布置图表并附文字说明，说明临时设施、加工车间、现场办公、设备及仓储、供电、供水、卫生、生活等设施的情况和布置。</w:t>
      </w:r>
      <w:r>
        <w:rPr>
          <w:rFonts w:ascii="楷体_GB2312" w:eastAsia="楷体_GB2312"/>
          <w:highlight w:val="none"/>
        </w:rPr>
        <w:br w:type="page"/>
      </w:r>
    </w:p>
    <w:p>
      <w:pPr>
        <w:adjustRightInd w:val="0"/>
        <w:snapToGrid w:val="0"/>
        <w:spacing w:line="360" w:lineRule="auto"/>
        <w:ind w:firstLine="602" w:firstLineChars="200"/>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6.临时用地表</w:t>
      </w:r>
    </w:p>
    <w:tbl>
      <w:tblPr>
        <w:tblStyle w:val="39"/>
        <w:tblW w:w="92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6"/>
        <w:gridCol w:w="2268"/>
        <w:gridCol w:w="2352"/>
        <w:gridCol w:w="23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316" w:type="dxa"/>
            <w:shd w:val="clear" w:color="auto" w:fill="auto"/>
            <w:vAlign w:val="center"/>
          </w:tcPr>
          <w:p>
            <w:pPr>
              <w:adjustRightInd w:val="0"/>
              <w:snapToGrid w:val="0"/>
              <w:jc w:val="center"/>
              <w:rPr>
                <w:rFonts w:ascii="Times New Roman" w:hAnsi="Times New Roman" w:eastAsia="宋体" w:cs="Courier New"/>
                <w:kern w:val="0"/>
                <w:sz w:val="21"/>
                <w:szCs w:val="21"/>
                <w:highlight w:val="none"/>
              </w:rPr>
            </w:pPr>
            <w:r>
              <w:rPr>
                <w:rFonts w:hint="eastAsia" w:ascii="Times New Roman" w:hAnsi="Times New Roman" w:eastAsia="宋体" w:cs="Courier New"/>
                <w:kern w:val="0"/>
                <w:sz w:val="21"/>
                <w:szCs w:val="21"/>
                <w:highlight w:val="none"/>
              </w:rPr>
              <w:t>用  途</w:t>
            </w:r>
          </w:p>
        </w:tc>
        <w:tc>
          <w:tcPr>
            <w:tcW w:w="2268" w:type="dxa"/>
            <w:shd w:val="clear" w:color="auto" w:fill="auto"/>
            <w:vAlign w:val="center"/>
          </w:tcPr>
          <w:p>
            <w:pPr>
              <w:adjustRightInd w:val="0"/>
              <w:snapToGrid w:val="0"/>
              <w:jc w:val="center"/>
              <w:rPr>
                <w:rFonts w:ascii="Times New Roman" w:hAnsi="Times New Roman" w:eastAsia="宋体" w:cs="Courier New"/>
                <w:kern w:val="0"/>
                <w:sz w:val="21"/>
                <w:szCs w:val="21"/>
                <w:highlight w:val="none"/>
              </w:rPr>
            </w:pPr>
            <w:r>
              <w:rPr>
                <w:rFonts w:hint="eastAsia" w:ascii="Times New Roman" w:hAnsi="Times New Roman" w:eastAsia="宋体" w:cs="Courier New"/>
                <w:kern w:val="0"/>
                <w:sz w:val="21"/>
                <w:szCs w:val="21"/>
                <w:highlight w:val="none"/>
              </w:rPr>
              <w:t>面积（平方米）</w:t>
            </w:r>
          </w:p>
        </w:tc>
        <w:tc>
          <w:tcPr>
            <w:tcW w:w="2352" w:type="dxa"/>
            <w:shd w:val="clear" w:color="auto" w:fill="auto"/>
            <w:vAlign w:val="center"/>
          </w:tcPr>
          <w:p>
            <w:pPr>
              <w:adjustRightInd w:val="0"/>
              <w:snapToGrid w:val="0"/>
              <w:jc w:val="center"/>
              <w:rPr>
                <w:rFonts w:ascii="Times New Roman" w:hAnsi="Times New Roman" w:eastAsia="宋体" w:cs="Courier New"/>
                <w:kern w:val="0"/>
                <w:sz w:val="21"/>
                <w:szCs w:val="21"/>
                <w:highlight w:val="none"/>
              </w:rPr>
            </w:pPr>
            <w:r>
              <w:rPr>
                <w:rFonts w:hint="eastAsia" w:ascii="Times New Roman" w:hAnsi="Times New Roman" w:eastAsia="宋体" w:cs="Courier New"/>
                <w:kern w:val="0"/>
                <w:sz w:val="21"/>
                <w:szCs w:val="21"/>
                <w:highlight w:val="none"/>
              </w:rPr>
              <w:t>位  置</w:t>
            </w:r>
          </w:p>
        </w:tc>
        <w:tc>
          <w:tcPr>
            <w:tcW w:w="2352" w:type="dxa"/>
            <w:shd w:val="clear" w:color="auto" w:fill="auto"/>
            <w:vAlign w:val="center"/>
          </w:tcPr>
          <w:p>
            <w:pPr>
              <w:adjustRightInd w:val="0"/>
              <w:snapToGrid w:val="0"/>
              <w:jc w:val="center"/>
              <w:rPr>
                <w:rFonts w:ascii="Times New Roman" w:hAnsi="Times New Roman" w:eastAsia="宋体" w:cs="Courier New"/>
                <w:kern w:val="0"/>
                <w:sz w:val="21"/>
                <w:szCs w:val="21"/>
                <w:highlight w:val="none"/>
              </w:rPr>
            </w:pPr>
            <w:r>
              <w:rPr>
                <w:rFonts w:hint="eastAsia" w:ascii="Times New Roman" w:hAnsi="Times New Roman" w:eastAsia="宋体" w:cs="Courier New"/>
                <w:kern w:val="0"/>
                <w:sz w:val="21"/>
                <w:szCs w:val="21"/>
                <w:highlight w:val="none"/>
              </w:rPr>
              <w:t>需用时间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316"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26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35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35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316"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26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35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35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316"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26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35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35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316"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26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35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35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316"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26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35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35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316"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26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35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35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316"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26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35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35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316"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26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35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35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316"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26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35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35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316"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26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35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35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316"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26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35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35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316"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26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35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35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316"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26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35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35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316"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26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35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35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316"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26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35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35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316"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26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35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35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316"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26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35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35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316"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268"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35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c>
          <w:tcPr>
            <w:tcW w:w="2352" w:type="dxa"/>
            <w:shd w:val="clear" w:color="auto" w:fill="auto"/>
            <w:vAlign w:val="center"/>
          </w:tcPr>
          <w:p>
            <w:pPr>
              <w:adjustRightInd w:val="0"/>
              <w:snapToGrid w:val="0"/>
              <w:spacing w:line="360" w:lineRule="auto"/>
              <w:jc w:val="center"/>
              <w:rPr>
                <w:rFonts w:ascii="Times New Roman" w:hAnsi="Times New Roman" w:eastAsia="宋体" w:cs="Courier New"/>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316" w:type="dxa"/>
            <w:shd w:val="clear" w:color="auto" w:fill="auto"/>
            <w:vAlign w:val="center"/>
          </w:tcPr>
          <w:p>
            <w:pPr>
              <w:adjustRightInd w:val="0"/>
              <w:snapToGrid w:val="0"/>
              <w:jc w:val="center"/>
              <w:rPr>
                <w:rFonts w:ascii="Times New Roman" w:hAnsi="Times New Roman" w:eastAsia="宋体" w:cs="Courier New"/>
                <w:kern w:val="0"/>
                <w:sz w:val="21"/>
                <w:szCs w:val="21"/>
                <w:highlight w:val="none"/>
              </w:rPr>
            </w:pPr>
            <w:r>
              <w:rPr>
                <w:rFonts w:hint="eastAsia" w:ascii="Times New Roman" w:hAnsi="Times New Roman" w:eastAsia="宋体" w:cs="Courier New"/>
                <w:kern w:val="0"/>
                <w:sz w:val="21"/>
                <w:szCs w:val="21"/>
                <w:highlight w:val="none"/>
              </w:rPr>
              <w:t>合    计</w:t>
            </w:r>
          </w:p>
        </w:tc>
        <w:tc>
          <w:tcPr>
            <w:tcW w:w="2268" w:type="dxa"/>
            <w:shd w:val="clear" w:color="auto" w:fill="auto"/>
            <w:vAlign w:val="center"/>
          </w:tcPr>
          <w:p>
            <w:pPr>
              <w:adjustRightInd w:val="0"/>
              <w:snapToGrid w:val="0"/>
              <w:jc w:val="center"/>
              <w:rPr>
                <w:rFonts w:ascii="Times New Roman" w:hAnsi="Times New Roman" w:eastAsia="宋体" w:cs="Courier New"/>
                <w:kern w:val="0"/>
                <w:sz w:val="21"/>
                <w:szCs w:val="21"/>
                <w:highlight w:val="none"/>
              </w:rPr>
            </w:pPr>
          </w:p>
        </w:tc>
        <w:tc>
          <w:tcPr>
            <w:tcW w:w="2352" w:type="dxa"/>
            <w:shd w:val="clear" w:color="auto" w:fill="auto"/>
            <w:vAlign w:val="center"/>
          </w:tcPr>
          <w:p>
            <w:pPr>
              <w:adjustRightInd w:val="0"/>
              <w:snapToGrid w:val="0"/>
              <w:jc w:val="center"/>
              <w:rPr>
                <w:rFonts w:ascii="Times New Roman" w:hAnsi="Times New Roman" w:eastAsia="宋体" w:cs="Courier New"/>
                <w:kern w:val="0"/>
                <w:sz w:val="21"/>
                <w:szCs w:val="21"/>
                <w:highlight w:val="none"/>
              </w:rPr>
            </w:pPr>
          </w:p>
        </w:tc>
        <w:tc>
          <w:tcPr>
            <w:tcW w:w="2352" w:type="dxa"/>
            <w:shd w:val="clear" w:color="auto" w:fill="auto"/>
            <w:vAlign w:val="center"/>
          </w:tcPr>
          <w:p>
            <w:pPr>
              <w:adjustRightInd w:val="0"/>
              <w:snapToGrid w:val="0"/>
              <w:jc w:val="center"/>
              <w:rPr>
                <w:rFonts w:ascii="Times New Roman" w:hAnsi="Times New Roman" w:eastAsia="宋体" w:cs="Courier New"/>
                <w:kern w:val="0"/>
                <w:sz w:val="21"/>
                <w:szCs w:val="21"/>
                <w:highlight w:val="none"/>
              </w:rPr>
            </w:pPr>
          </w:p>
        </w:tc>
      </w:tr>
    </w:tbl>
    <w:p>
      <w:pPr>
        <w:adjustRightInd w:val="0"/>
        <w:snapToGrid w:val="0"/>
        <w:spacing w:line="360" w:lineRule="auto"/>
        <w:rPr>
          <w:rFonts w:ascii="楷体_GB2312" w:eastAsia="楷体_GB2312"/>
          <w:highlight w:val="none"/>
        </w:rPr>
      </w:pPr>
      <w:r>
        <w:rPr>
          <w:rFonts w:hint="eastAsia" w:ascii="楷体_GB2312" w:eastAsia="楷体_GB2312"/>
          <w:szCs w:val="21"/>
          <w:highlight w:val="none"/>
        </w:rPr>
        <w:t>注：投标人应逐项填写本表，指出全部临时设施用地面积以及详细用途。</w:t>
      </w:r>
      <w:r>
        <w:rPr>
          <w:rFonts w:ascii="楷体_GB2312" w:eastAsia="楷体_GB2312"/>
          <w:highlight w:val="none"/>
        </w:rPr>
        <w:br w:type="page"/>
      </w:r>
    </w:p>
    <w:p>
      <w:pPr>
        <w:adjustRightInd w:val="0"/>
        <w:snapToGrid w:val="0"/>
        <w:spacing w:line="360" w:lineRule="auto"/>
        <w:jc w:val="center"/>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rPr>
        <w:t>二、项目管理</w:t>
      </w:r>
      <w:r>
        <w:rPr>
          <w:rFonts w:hint="eastAsia" w:ascii="黑体" w:hAnsi="黑体" w:eastAsia="黑体" w:cs="黑体"/>
          <w:b w:val="0"/>
          <w:bCs w:val="0"/>
          <w:sz w:val="32"/>
          <w:szCs w:val="32"/>
          <w:highlight w:val="none"/>
          <w:lang w:val="en-US" w:eastAsia="zh-CN"/>
        </w:rPr>
        <w:t>机构</w:t>
      </w:r>
      <w:r>
        <w:rPr>
          <w:rFonts w:hint="eastAsia" w:ascii="黑体" w:hAnsi="黑体" w:eastAsia="黑体" w:cs="黑体"/>
          <w:b w:val="0"/>
          <w:bCs w:val="0"/>
          <w:sz w:val="32"/>
          <w:szCs w:val="32"/>
          <w:highlight w:val="none"/>
        </w:rPr>
        <w:t>配备情况</w:t>
      </w:r>
    </w:p>
    <w:p>
      <w:pPr>
        <w:adjustRightInd w:val="0"/>
        <w:snapToGrid w:val="0"/>
        <w:spacing w:line="360" w:lineRule="auto"/>
        <w:ind w:firstLine="602" w:firstLineChars="200"/>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1.项目管理</w:t>
      </w:r>
      <w:r>
        <w:rPr>
          <w:rFonts w:hint="eastAsia" w:ascii="宋体" w:hAnsi="宋体" w:eastAsia="宋体" w:cs="宋体"/>
          <w:b/>
          <w:bCs/>
          <w:sz w:val="30"/>
          <w:szCs w:val="30"/>
          <w:highlight w:val="none"/>
          <w:lang w:val="en-US" w:eastAsia="zh-CN"/>
        </w:rPr>
        <w:t>机构</w:t>
      </w:r>
      <w:r>
        <w:rPr>
          <w:rFonts w:hint="eastAsia" w:ascii="宋体" w:hAnsi="宋体" w:eastAsia="宋体" w:cs="宋体"/>
          <w:b/>
          <w:bCs/>
          <w:sz w:val="30"/>
          <w:szCs w:val="30"/>
          <w:highlight w:val="none"/>
        </w:rPr>
        <w:t>配备情况表</w:t>
      </w:r>
    </w:p>
    <w:tbl>
      <w:tblPr>
        <w:tblStyle w:val="39"/>
        <w:tblpPr w:leftFromText="180" w:rightFromText="180" w:vertAnchor="text" w:horzAnchor="page" w:tblpX="1432" w:tblpY="90"/>
        <w:tblOverlap w:val="never"/>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759"/>
        <w:gridCol w:w="758"/>
        <w:gridCol w:w="1137"/>
        <w:gridCol w:w="758"/>
        <w:gridCol w:w="758"/>
        <w:gridCol w:w="758"/>
        <w:gridCol w:w="1518"/>
        <w:gridCol w:w="947"/>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759" w:type="dxa"/>
            <w:vMerge w:val="restart"/>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职务</w:t>
            </w:r>
          </w:p>
        </w:tc>
        <w:tc>
          <w:tcPr>
            <w:tcW w:w="759" w:type="dxa"/>
            <w:vMerge w:val="restart"/>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姓名</w:t>
            </w:r>
          </w:p>
        </w:tc>
        <w:tc>
          <w:tcPr>
            <w:tcW w:w="758" w:type="dxa"/>
            <w:vMerge w:val="restart"/>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职称</w:t>
            </w:r>
          </w:p>
        </w:tc>
        <w:tc>
          <w:tcPr>
            <w:tcW w:w="4929" w:type="dxa"/>
            <w:gridSpan w:val="5"/>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上岗资格证明</w:t>
            </w:r>
          </w:p>
        </w:tc>
        <w:tc>
          <w:tcPr>
            <w:tcW w:w="2082"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已承担在建工程</w:t>
            </w:r>
          </w:p>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759" w:type="dxa"/>
            <w:vMerge w:val="continue"/>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759" w:type="dxa"/>
            <w:vMerge w:val="continue"/>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758" w:type="dxa"/>
            <w:vMerge w:val="continue"/>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137"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证书名称</w:t>
            </w:r>
          </w:p>
        </w:tc>
        <w:tc>
          <w:tcPr>
            <w:tcW w:w="75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级别</w:t>
            </w:r>
          </w:p>
        </w:tc>
        <w:tc>
          <w:tcPr>
            <w:tcW w:w="75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证号</w:t>
            </w:r>
          </w:p>
        </w:tc>
        <w:tc>
          <w:tcPr>
            <w:tcW w:w="75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专业</w:t>
            </w:r>
          </w:p>
        </w:tc>
        <w:tc>
          <w:tcPr>
            <w:tcW w:w="151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原服务单位</w:t>
            </w:r>
          </w:p>
        </w:tc>
        <w:tc>
          <w:tcPr>
            <w:tcW w:w="947"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项目数</w:t>
            </w:r>
          </w:p>
        </w:tc>
        <w:tc>
          <w:tcPr>
            <w:tcW w:w="1135"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7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13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51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94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135"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7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13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51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94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135"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7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13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51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94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135"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7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13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51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94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135"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7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13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51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94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135"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7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13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51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94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135"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7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13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51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94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135"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7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13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51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94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135"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7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13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51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94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135"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7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13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51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94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135"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7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13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51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94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135"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7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13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51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94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135"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7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13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51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94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135"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7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13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51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94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135"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7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9"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13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75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518"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947"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c>
          <w:tcPr>
            <w:tcW w:w="1135" w:type="dxa"/>
            <w:shd w:val="clear" w:color="auto" w:fill="auto"/>
            <w:vAlign w:val="center"/>
          </w:tcPr>
          <w:p>
            <w:pPr>
              <w:adjustRightInd w:val="0"/>
              <w:snapToGrid w:val="0"/>
              <w:spacing w:line="360" w:lineRule="auto"/>
              <w:jc w:val="center"/>
              <w:rPr>
                <w:rFonts w:hint="eastAsia" w:ascii="宋体" w:hAnsi="宋体" w:eastAsia="宋体" w:cs="宋体"/>
                <w:kern w:val="0"/>
                <w:sz w:val="20"/>
                <w:szCs w:val="21"/>
                <w:highlight w:val="none"/>
              </w:rPr>
            </w:pPr>
          </w:p>
        </w:tc>
      </w:tr>
    </w:tbl>
    <w:p>
      <w:pPr>
        <w:spacing w:line="20" w:lineRule="exact"/>
        <w:rPr>
          <w:highlight w:val="none"/>
        </w:rPr>
      </w:pPr>
    </w:p>
    <w:p>
      <w:pPr>
        <w:adjustRightInd w:val="0"/>
        <w:snapToGrid w:val="0"/>
        <w:spacing w:line="360" w:lineRule="auto"/>
        <w:ind w:firstLine="420" w:firstLineChars="200"/>
        <w:rPr>
          <w:rFonts w:hint="eastAsia" w:ascii="楷体_GB2312" w:hAnsi="楷体_GB2312" w:eastAsia="楷体_GB2312" w:cs="楷体_GB2312"/>
          <w:b w:val="0"/>
          <w:bCs w:val="0"/>
          <w:sz w:val="21"/>
          <w:szCs w:val="21"/>
          <w:highlight w:val="yellow"/>
          <w:lang w:val="en-US" w:eastAsia="zh-CN"/>
        </w:rPr>
      </w:pPr>
      <w:r>
        <w:rPr>
          <w:rFonts w:hint="eastAsia" w:ascii="楷体_GB2312" w:hAnsi="楷体_GB2312" w:eastAsia="楷体_GB2312" w:cs="楷体_GB2312"/>
          <w:b w:val="0"/>
          <w:bCs w:val="0"/>
          <w:sz w:val="21"/>
          <w:szCs w:val="21"/>
          <w:highlight w:val="yellow"/>
          <w:lang w:eastAsia="zh-CN"/>
        </w:rPr>
        <w:t>注：</w:t>
      </w:r>
      <w:r>
        <w:rPr>
          <w:rFonts w:hint="eastAsia" w:ascii="楷体_GB2312" w:hAnsi="楷体_GB2312" w:eastAsia="楷体_GB2312" w:cs="楷体_GB2312"/>
          <w:b w:val="0"/>
          <w:bCs w:val="0"/>
          <w:sz w:val="21"/>
          <w:szCs w:val="21"/>
          <w:highlight w:val="yellow"/>
          <w:lang w:val="en-US" w:eastAsia="zh-CN"/>
        </w:rPr>
        <w:t>1.</w:t>
      </w:r>
      <w:r>
        <w:rPr>
          <w:rFonts w:hint="eastAsia" w:ascii="楷体_GB2312" w:hAnsi="楷体_GB2312" w:eastAsia="楷体_GB2312" w:cs="楷体_GB2312"/>
          <w:b w:val="0"/>
          <w:bCs w:val="0"/>
          <w:sz w:val="21"/>
          <w:szCs w:val="21"/>
          <w:highlight w:val="yellow"/>
          <w:lang w:eastAsia="zh-CN"/>
        </w:rPr>
        <w:t>项目管理</w:t>
      </w:r>
      <w:r>
        <w:rPr>
          <w:rFonts w:hint="eastAsia" w:ascii="楷体_GB2312" w:hAnsi="楷体_GB2312" w:eastAsia="楷体_GB2312" w:cs="楷体_GB2312"/>
          <w:b w:val="0"/>
          <w:bCs w:val="0"/>
          <w:sz w:val="21"/>
          <w:szCs w:val="21"/>
          <w:highlight w:val="yellow"/>
          <w:lang w:val="en-US" w:eastAsia="zh-CN"/>
        </w:rPr>
        <w:t>机构</w:t>
      </w:r>
      <w:r>
        <w:rPr>
          <w:rFonts w:hint="eastAsia" w:ascii="楷体_GB2312" w:hAnsi="楷体_GB2312" w:eastAsia="楷体_GB2312" w:cs="楷体_GB2312"/>
          <w:b w:val="0"/>
          <w:bCs w:val="0"/>
          <w:sz w:val="21"/>
          <w:szCs w:val="21"/>
          <w:highlight w:val="yellow"/>
          <w:lang w:eastAsia="zh-CN"/>
        </w:rPr>
        <w:t>包括：（</w:t>
      </w:r>
      <w:r>
        <w:rPr>
          <w:rFonts w:hint="eastAsia" w:ascii="楷体_GB2312" w:hAnsi="楷体_GB2312" w:eastAsia="楷体_GB2312" w:cs="楷体_GB2312"/>
          <w:b w:val="0"/>
          <w:bCs w:val="0"/>
          <w:sz w:val="21"/>
          <w:szCs w:val="21"/>
          <w:highlight w:val="yellow"/>
          <w:lang w:val="en-US" w:eastAsia="zh-CN"/>
        </w:rPr>
        <w:t>1</w:t>
      </w:r>
      <w:r>
        <w:rPr>
          <w:rFonts w:hint="eastAsia" w:ascii="楷体_GB2312" w:hAnsi="楷体_GB2312" w:eastAsia="楷体_GB2312" w:cs="楷体_GB2312"/>
          <w:b w:val="0"/>
          <w:bCs w:val="0"/>
          <w:sz w:val="21"/>
          <w:szCs w:val="21"/>
          <w:highlight w:val="yellow"/>
          <w:lang w:eastAsia="zh-CN"/>
        </w:rPr>
        <w:t>）</w:t>
      </w:r>
      <w:r>
        <w:rPr>
          <w:rFonts w:hint="eastAsia" w:ascii="楷体_GB2312" w:hAnsi="楷体_GB2312" w:eastAsia="楷体_GB2312" w:cs="楷体_GB2312"/>
          <w:b w:val="0"/>
          <w:bCs w:val="0"/>
          <w:sz w:val="21"/>
          <w:szCs w:val="21"/>
          <w:highlight w:val="yellow"/>
          <w:lang w:val="en-US" w:eastAsia="zh-CN"/>
        </w:rPr>
        <w:t>必填项：</w:t>
      </w:r>
      <w:r>
        <w:rPr>
          <w:rFonts w:hint="eastAsia" w:ascii="楷体_GB2312" w:hAnsi="楷体_GB2312" w:eastAsia="楷体_GB2312" w:cs="楷体_GB2312"/>
          <w:b w:val="0"/>
          <w:bCs w:val="0"/>
          <w:sz w:val="21"/>
          <w:szCs w:val="21"/>
          <w:highlight w:val="yellow"/>
          <w:lang w:eastAsia="zh-CN"/>
        </w:rPr>
        <w:t>项目经理、技术负责人、质量负责人、安全负责人、安全员、</w:t>
      </w:r>
      <w:r>
        <w:rPr>
          <w:rFonts w:hint="eastAsia" w:ascii="楷体_GB2312" w:hAnsi="楷体_GB2312" w:eastAsia="楷体_GB2312" w:cs="楷体_GB2312"/>
          <w:b w:val="0"/>
          <w:bCs w:val="0"/>
          <w:sz w:val="21"/>
          <w:szCs w:val="21"/>
          <w:highlight w:val="yellow"/>
          <w:lang w:val="en-US" w:eastAsia="zh-CN"/>
        </w:rPr>
        <w:t>劳资专管员</w:t>
      </w:r>
      <w:r>
        <w:rPr>
          <w:rFonts w:hint="eastAsia" w:ascii="楷体_GB2312" w:hAnsi="楷体_GB2312" w:eastAsia="楷体_GB2312" w:cs="楷体_GB2312"/>
          <w:b w:val="0"/>
          <w:bCs w:val="0"/>
          <w:sz w:val="21"/>
          <w:szCs w:val="21"/>
          <w:highlight w:val="yellow"/>
          <w:lang w:eastAsia="zh-CN"/>
        </w:rPr>
        <w:t>；</w:t>
      </w:r>
      <w:r>
        <w:rPr>
          <w:rFonts w:hint="eastAsia" w:ascii="楷体_GB2312" w:hAnsi="楷体_GB2312" w:eastAsia="楷体_GB2312" w:cs="楷体_GB2312"/>
          <w:b w:val="0"/>
          <w:bCs w:val="0"/>
          <w:sz w:val="21"/>
          <w:szCs w:val="21"/>
          <w:highlight w:val="yellow"/>
          <w:lang w:val="en-US" w:eastAsia="zh-CN"/>
        </w:rPr>
        <w:t>（2）选填项：项目副经理、土建工程师、强电工程师、弱电工程师、暖通工程师、给排水工程师、造价工程师、测量工程师、BIM工程师、质量员、施工员、材料员、预算员、资料员、其他施工管理人员；</w:t>
      </w:r>
    </w:p>
    <w:p>
      <w:pPr>
        <w:adjustRightInd w:val="0"/>
        <w:snapToGrid w:val="0"/>
        <w:spacing w:line="360" w:lineRule="auto"/>
        <w:ind w:firstLine="420" w:firstLineChars="200"/>
        <w:rPr>
          <w:rFonts w:hint="eastAsia" w:ascii="楷体_GB2312" w:hAnsi="楷体_GB2312" w:eastAsia="楷体_GB2312" w:cs="楷体_GB2312"/>
          <w:b w:val="0"/>
          <w:bCs w:val="0"/>
          <w:sz w:val="21"/>
          <w:szCs w:val="21"/>
          <w:highlight w:val="yellow"/>
          <w:lang w:val="en-US" w:eastAsia="zh-CN"/>
        </w:rPr>
      </w:pPr>
      <w:r>
        <w:rPr>
          <w:rFonts w:hint="eastAsia" w:ascii="楷体_GB2312" w:hAnsi="楷体_GB2312" w:eastAsia="楷体_GB2312" w:cs="楷体_GB2312"/>
          <w:b w:val="0"/>
          <w:bCs w:val="0"/>
          <w:sz w:val="21"/>
          <w:szCs w:val="21"/>
          <w:highlight w:val="yellow"/>
          <w:lang w:val="en-US" w:eastAsia="zh-CN"/>
        </w:rPr>
        <w:t>2.本表填报项目管理机构应与提交投标文件时投标子系统填报一致。</w:t>
      </w:r>
    </w:p>
    <w:p>
      <w:pPr>
        <w:adjustRightInd/>
        <w:snapToGrid/>
        <w:spacing w:line="240" w:lineRule="auto"/>
        <w:ind w:firstLine="0" w:firstLineChars="0"/>
        <w:rPr>
          <w:rFonts w:hint="eastAsia"/>
          <w:b/>
          <w:bCs/>
          <w:sz w:val="28"/>
          <w:highlight w:val="none"/>
        </w:rPr>
      </w:pPr>
      <w:r>
        <w:rPr>
          <w:rFonts w:hint="eastAsia"/>
          <w:b/>
          <w:bCs/>
          <w:sz w:val="28"/>
          <w:highlight w:val="none"/>
        </w:rPr>
        <w:br w:type="page"/>
      </w:r>
    </w:p>
    <w:p>
      <w:pPr>
        <w:adjustRightInd w:val="0"/>
        <w:snapToGrid w:val="0"/>
        <w:spacing w:line="360" w:lineRule="auto"/>
        <w:ind w:firstLine="602" w:firstLineChars="200"/>
        <w:rPr>
          <w:rFonts w:hint="eastAsia" w:ascii="宋体" w:hAnsi="宋体" w:eastAsia="宋体" w:cs="宋体"/>
          <w:b/>
          <w:bCs/>
          <w:sz w:val="28"/>
          <w:highlight w:val="none"/>
        </w:rPr>
      </w:pPr>
      <w:r>
        <w:rPr>
          <w:rFonts w:hint="eastAsia" w:ascii="宋体" w:hAnsi="宋体" w:eastAsia="宋体" w:cs="宋体"/>
          <w:b/>
          <w:bCs/>
          <w:sz w:val="30"/>
          <w:szCs w:val="30"/>
          <w:highlight w:val="none"/>
        </w:rPr>
        <w:t>2.项目经理（建造师）简历表</w:t>
      </w:r>
      <w:r>
        <w:rPr>
          <w:rFonts w:hint="eastAsia" w:ascii="宋体" w:hAnsi="宋体" w:eastAsia="宋体" w:cs="宋体"/>
          <w:color w:val="000000"/>
          <w:highlight w:val="none"/>
        </w:rPr>
        <w:t>（每个项目只能一个，必填项）</w:t>
      </w:r>
    </w:p>
    <w:tbl>
      <w:tblPr>
        <w:tblStyle w:val="39"/>
        <w:tblW w:w="92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
        <w:gridCol w:w="580"/>
        <w:gridCol w:w="470"/>
        <w:gridCol w:w="887"/>
        <w:gridCol w:w="194"/>
        <w:gridCol w:w="1397"/>
        <w:gridCol w:w="1975"/>
        <w:gridCol w:w="970"/>
        <w:gridCol w:w="496"/>
        <w:gridCol w:w="1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967" w:type="dxa"/>
            <w:shd w:val="clear" w:color="auto" w:fill="auto"/>
            <w:vAlign w:val="center"/>
          </w:tcPr>
          <w:p>
            <w:pPr>
              <w:adjustRightInd w:val="0"/>
              <w:snapToGrid w:val="0"/>
              <w:ind w:left="-107" w:leftChars="-51" w:right="-107" w:rightChars="-51"/>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姓名</w:t>
            </w:r>
          </w:p>
        </w:tc>
        <w:tc>
          <w:tcPr>
            <w:tcW w:w="2131" w:type="dxa"/>
            <w:gridSpan w:val="4"/>
            <w:shd w:val="clear" w:color="auto" w:fill="auto"/>
            <w:vAlign w:val="center"/>
          </w:tcPr>
          <w:p>
            <w:pPr>
              <w:adjustRightInd w:val="0"/>
              <w:snapToGrid w:val="0"/>
              <w:ind w:left="-107" w:leftChars="-51" w:right="-107" w:rightChars="-51"/>
              <w:rPr>
                <w:rFonts w:hint="eastAsia" w:ascii="宋体" w:hAnsi="宋体" w:eastAsia="宋体" w:cs="宋体"/>
                <w:kern w:val="0"/>
                <w:sz w:val="21"/>
                <w:szCs w:val="21"/>
                <w:highlight w:val="none"/>
              </w:rPr>
            </w:pPr>
          </w:p>
        </w:tc>
        <w:tc>
          <w:tcPr>
            <w:tcW w:w="1397" w:type="dxa"/>
            <w:shd w:val="clear" w:color="auto" w:fill="auto"/>
            <w:vAlign w:val="center"/>
          </w:tcPr>
          <w:p>
            <w:pPr>
              <w:adjustRightInd w:val="0"/>
              <w:snapToGrid w:val="0"/>
              <w:ind w:left="-107" w:leftChars="-51" w:right="-107" w:rightChars="-51"/>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性  别</w:t>
            </w:r>
          </w:p>
        </w:tc>
        <w:tc>
          <w:tcPr>
            <w:tcW w:w="1975" w:type="dxa"/>
            <w:shd w:val="clear" w:color="auto" w:fill="auto"/>
            <w:vAlign w:val="center"/>
          </w:tcPr>
          <w:p>
            <w:pPr>
              <w:adjustRightInd w:val="0"/>
              <w:snapToGrid w:val="0"/>
              <w:ind w:left="-107" w:leftChars="-51" w:right="-107" w:rightChars="-51"/>
              <w:rPr>
                <w:rFonts w:hint="eastAsia" w:ascii="宋体" w:hAnsi="宋体" w:eastAsia="宋体" w:cs="宋体"/>
                <w:kern w:val="0"/>
                <w:sz w:val="21"/>
                <w:szCs w:val="21"/>
                <w:highlight w:val="none"/>
              </w:rPr>
            </w:pPr>
          </w:p>
        </w:tc>
        <w:tc>
          <w:tcPr>
            <w:tcW w:w="970" w:type="dxa"/>
            <w:shd w:val="clear" w:color="auto" w:fill="auto"/>
            <w:vAlign w:val="center"/>
          </w:tcPr>
          <w:p>
            <w:pPr>
              <w:adjustRightInd w:val="0"/>
              <w:snapToGrid w:val="0"/>
              <w:ind w:left="-107" w:leftChars="-51" w:right="-107" w:rightChars="-51"/>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年  龄</w:t>
            </w:r>
          </w:p>
        </w:tc>
        <w:tc>
          <w:tcPr>
            <w:tcW w:w="1850" w:type="dxa"/>
            <w:gridSpan w:val="2"/>
            <w:shd w:val="clear" w:color="auto" w:fill="auto"/>
            <w:vAlign w:val="center"/>
          </w:tcPr>
          <w:p>
            <w:pPr>
              <w:adjustRightInd w:val="0"/>
              <w:snapToGrid w:val="0"/>
              <w:ind w:left="-107" w:leftChars="-51" w:right="-107" w:rightChars="-51"/>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967" w:type="dxa"/>
            <w:shd w:val="clear" w:color="auto" w:fill="auto"/>
            <w:vAlign w:val="center"/>
          </w:tcPr>
          <w:p>
            <w:pPr>
              <w:adjustRightInd w:val="0"/>
              <w:snapToGrid w:val="0"/>
              <w:ind w:left="-107" w:leftChars="-51" w:right="-107" w:rightChars="-51"/>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职务</w:t>
            </w:r>
          </w:p>
        </w:tc>
        <w:tc>
          <w:tcPr>
            <w:tcW w:w="2131" w:type="dxa"/>
            <w:gridSpan w:val="4"/>
            <w:shd w:val="clear" w:color="auto" w:fill="auto"/>
            <w:vAlign w:val="center"/>
          </w:tcPr>
          <w:p>
            <w:pPr>
              <w:adjustRightInd w:val="0"/>
              <w:snapToGrid w:val="0"/>
              <w:ind w:left="-107" w:leftChars="-51" w:right="-107" w:rightChars="-51"/>
              <w:rPr>
                <w:rFonts w:hint="eastAsia" w:ascii="宋体" w:hAnsi="宋体" w:eastAsia="宋体" w:cs="宋体"/>
                <w:kern w:val="0"/>
                <w:sz w:val="21"/>
                <w:szCs w:val="21"/>
                <w:highlight w:val="none"/>
              </w:rPr>
            </w:pPr>
          </w:p>
        </w:tc>
        <w:tc>
          <w:tcPr>
            <w:tcW w:w="1397" w:type="dxa"/>
            <w:shd w:val="clear" w:color="auto" w:fill="auto"/>
            <w:vAlign w:val="center"/>
          </w:tcPr>
          <w:p>
            <w:pPr>
              <w:adjustRightInd w:val="0"/>
              <w:snapToGrid w:val="0"/>
              <w:ind w:left="-107" w:leftChars="-51" w:right="-107" w:rightChars="-51"/>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职  称</w:t>
            </w:r>
          </w:p>
        </w:tc>
        <w:tc>
          <w:tcPr>
            <w:tcW w:w="1975" w:type="dxa"/>
            <w:shd w:val="clear" w:color="auto" w:fill="auto"/>
            <w:vAlign w:val="center"/>
          </w:tcPr>
          <w:p>
            <w:pPr>
              <w:adjustRightInd w:val="0"/>
              <w:snapToGrid w:val="0"/>
              <w:ind w:left="-107" w:leftChars="-51" w:right="-107" w:rightChars="-51"/>
              <w:rPr>
                <w:rFonts w:hint="eastAsia" w:ascii="宋体" w:hAnsi="宋体" w:eastAsia="宋体" w:cs="宋体"/>
                <w:kern w:val="0"/>
                <w:sz w:val="21"/>
                <w:szCs w:val="21"/>
                <w:highlight w:val="none"/>
              </w:rPr>
            </w:pPr>
          </w:p>
        </w:tc>
        <w:tc>
          <w:tcPr>
            <w:tcW w:w="970" w:type="dxa"/>
            <w:shd w:val="clear" w:color="auto" w:fill="auto"/>
            <w:vAlign w:val="center"/>
          </w:tcPr>
          <w:p>
            <w:pPr>
              <w:adjustRightInd w:val="0"/>
              <w:snapToGrid w:val="0"/>
              <w:ind w:left="-107" w:leftChars="-51" w:right="-107" w:rightChars="-51"/>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学  历</w:t>
            </w:r>
          </w:p>
        </w:tc>
        <w:tc>
          <w:tcPr>
            <w:tcW w:w="1850" w:type="dxa"/>
            <w:gridSpan w:val="2"/>
            <w:shd w:val="clear" w:color="auto" w:fill="auto"/>
            <w:vAlign w:val="center"/>
          </w:tcPr>
          <w:p>
            <w:pPr>
              <w:adjustRightInd w:val="0"/>
              <w:snapToGrid w:val="0"/>
              <w:ind w:left="-107" w:leftChars="-51" w:right="-107" w:rightChars="-51"/>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967" w:type="dxa"/>
            <w:shd w:val="clear" w:color="auto" w:fill="auto"/>
            <w:vAlign w:val="center"/>
          </w:tcPr>
          <w:p>
            <w:pPr>
              <w:adjustRightInd w:val="0"/>
              <w:snapToGrid w:val="0"/>
              <w:ind w:left="-107" w:leftChars="-51" w:right="-107" w:rightChars="-51"/>
              <w:jc w:val="center"/>
              <w:rPr>
                <w:rFonts w:hint="eastAsia" w:ascii="宋体" w:hAnsi="宋体" w:eastAsia="宋体" w:cs="宋体"/>
                <w:color w:val="000000"/>
                <w:kern w:val="0"/>
                <w:sz w:val="20"/>
                <w:szCs w:val="21"/>
                <w:highlight w:val="none"/>
              </w:rPr>
            </w:pPr>
            <w:r>
              <w:rPr>
                <w:rFonts w:hint="eastAsia" w:ascii="宋体" w:hAnsi="宋体" w:eastAsia="宋体" w:cs="宋体"/>
                <w:color w:val="000000"/>
                <w:kern w:val="0"/>
                <w:sz w:val="20"/>
                <w:szCs w:val="21"/>
                <w:highlight w:val="none"/>
              </w:rPr>
              <w:t>证件类型</w:t>
            </w:r>
          </w:p>
        </w:tc>
        <w:tc>
          <w:tcPr>
            <w:tcW w:w="2131" w:type="dxa"/>
            <w:gridSpan w:val="4"/>
            <w:shd w:val="clear" w:color="auto" w:fill="auto"/>
            <w:vAlign w:val="center"/>
          </w:tcPr>
          <w:p>
            <w:pPr>
              <w:adjustRightInd w:val="0"/>
              <w:snapToGrid w:val="0"/>
              <w:ind w:left="-107" w:leftChars="-51" w:right="-107" w:rightChars="-51"/>
              <w:rPr>
                <w:rFonts w:hint="eastAsia" w:ascii="宋体" w:hAnsi="宋体" w:eastAsia="宋体" w:cs="宋体"/>
                <w:color w:val="000000"/>
                <w:kern w:val="0"/>
                <w:sz w:val="20"/>
                <w:szCs w:val="21"/>
                <w:highlight w:val="none"/>
              </w:rPr>
            </w:pPr>
          </w:p>
        </w:tc>
        <w:tc>
          <w:tcPr>
            <w:tcW w:w="1397" w:type="dxa"/>
            <w:shd w:val="clear" w:color="auto" w:fill="auto"/>
            <w:vAlign w:val="center"/>
          </w:tcPr>
          <w:p>
            <w:pPr>
              <w:adjustRightInd w:val="0"/>
              <w:snapToGrid w:val="0"/>
              <w:ind w:left="-107" w:leftChars="-51" w:right="-107" w:rightChars="-51"/>
              <w:jc w:val="center"/>
              <w:rPr>
                <w:rFonts w:hint="eastAsia" w:ascii="宋体" w:hAnsi="宋体" w:eastAsia="宋体" w:cs="宋体"/>
                <w:color w:val="000000"/>
                <w:kern w:val="0"/>
                <w:sz w:val="20"/>
                <w:szCs w:val="21"/>
                <w:highlight w:val="none"/>
              </w:rPr>
            </w:pPr>
            <w:r>
              <w:rPr>
                <w:rFonts w:hint="eastAsia" w:ascii="宋体" w:hAnsi="宋体" w:eastAsia="宋体" w:cs="宋体"/>
                <w:color w:val="000000"/>
                <w:kern w:val="0"/>
                <w:sz w:val="20"/>
                <w:szCs w:val="21"/>
                <w:highlight w:val="none"/>
              </w:rPr>
              <w:t>证件号码</w:t>
            </w:r>
          </w:p>
        </w:tc>
        <w:tc>
          <w:tcPr>
            <w:tcW w:w="1975" w:type="dxa"/>
            <w:shd w:val="clear" w:color="auto" w:fill="auto"/>
            <w:vAlign w:val="center"/>
          </w:tcPr>
          <w:p>
            <w:pPr>
              <w:adjustRightInd w:val="0"/>
              <w:snapToGrid w:val="0"/>
              <w:ind w:left="-107" w:leftChars="-51" w:right="-107" w:rightChars="-51"/>
              <w:rPr>
                <w:rFonts w:hint="eastAsia" w:ascii="宋体" w:hAnsi="宋体" w:eastAsia="宋体" w:cs="宋体"/>
                <w:color w:val="000000"/>
                <w:kern w:val="0"/>
                <w:sz w:val="20"/>
                <w:szCs w:val="21"/>
                <w:highlight w:val="none"/>
              </w:rPr>
            </w:pPr>
          </w:p>
        </w:tc>
        <w:tc>
          <w:tcPr>
            <w:tcW w:w="970" w:type="dxa"/>
            <w:shd w:val="clear" w:color="auto" w:fill="auto"/>
            <w:vAlign w:val="center"/>
          </w:tcPr>
          <w:p>
            <w:pPr>
              <w:adjustRightInd w:val="0"/>
              <w:snapToGrid w:val="0"/>
              <w:ind w:left="-107" w:leftChars="-51" w:right="-107" w:rightChars="-51"/>
              <w:jc w:val="center"/>
              <w:rPr>
                <w:rFonts w:hint="eastAsia" w:ascii="宋体" w:hAnsi="宋体" w:eastAsia="宋体" w:cs="宋体"/>
                <w:color w:val="000000"/>
                <w:kern w:val="0"/>
                <w:sz w:val="20"/>
                <w:szCs w:val="21"/>
                <w:highlight w:val="none"/>
              </w:rPr>
            </w:pPr>
            <w:r>
              <w:rPr>
                <w:rFonts w:hint="eastAsia" w:ascii="宋体" w:hAnsi="宋体" w:eastAsia="宋体" w:cs="宋体"/>
                <w:color w:val="000000"/>
                <w:kern w:val="0"/>
                <w:sz w:val="20"/>
                <w:szCs w:val="21"/>
                <w:highlight w:val="none"/>
              </w:rPr>
              <w:t>手机号码</w:t>
            </w:r>
          </w:p>
        </w:tc>
        <w:tc>
          <w:tcPr>
            <w:tcW w:w="1850" w:type="dxa"/>
            <w:gridSpan w:val="2"/>
            <w:shd w:val="clear" w:color="auto" w:fill="auto"/>
            <w:vAlign w:val="center"/>
          </w:tcPr>
          <w:p>
            <w:pPr>
              <w:adjustRightInd w:val="0"/>
              <w:snapToGrid w:val="0"/>
              <w:ind w:left="-107" w:leftChars="-51" w:right="-107" w:rightChars="-51"/>
              <w:rPr>
                <w:rFonts w:hint="eastAsia" w:ascii="宋体" w:hAnsi="宋体" w:eastAsia="宋体" w:cs="宋体"/>
                <w:color w:val="000000"/>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017" w:type="dxa"/>
            <w:gridSpan w:val="3"/>
            <w:shd w:val="clear" w:color="auto" w:fill="auto"/>
            <w:vAlign w:val="center"/>
          </w:tcPr>
          <w:p>
            <w:pPr>
              <w:adjustRightInd w:val="0"/>
              <w:snapToGrid w:val="0"/>
              <w:ind w:left="-107" w:leftChars="-51" w:right="-107" w:rightChars="-51"/>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参加工作时间</w:t>
            </w:r>
          </w:p>
        </w:tc>
        <w:tc>
          <w:tcPr>
            <w:tcW w:w="2478" w:type="dxa"/>
            <w:gridSpan w:val="3"/>
            <w:shd w:val="clear" w:color="auto" w:fill="auto"/>
            <w:vAlign w:val="center"/>
          </w:tcPr>
          <w:p>
            <w:pPr>
              <w:adjustRightInd w:val="0"/>
              <w:snapToGrid w:val="0"/>
              <w:ind w:left="-107" w:leftChars="-51" w:right="-107" w:rightChars="-51"/>
              <w:rPr>
                <w:rFonts w:hint="eastAsia" w:ascii="宋体" w:hAnsi="宋体" w:eastAsia="宋体" w:cs="宋体"/>
                <w:kern w:val="0"/>
                <w:sz w:val="21"/>
                <w:szCs w:val="21"/>
                <w:highlight w:val="none"/>
              </w:rPr>
            </w:pPr>
          </w:p>
        </w:tc>
        <w:tc>
          <w:tcPr>
            <w:tcW w:w="2945" w:type="dxa"/>
            <w:gridSpan w:val="2"/>
            <w:shd w:val="clear" w:color="auto" w:fill="auto"/>
            <w:vAlign w:val="center"/>
          </w:tcPr>
          <w:p>
            <w:pPr>
              <w:adjustRightInd w:val="0"/>
              <w:snapToGrid w:val="0"/>
              <w:ind w:left="-107" w:leftChars="-51" w:right="-107" w:rightChars="-51"/>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从事项目经理（建造师）年限</w:t>
            </w:r>
          </w:p>
        </w:tc>
        <w:tc>
          <w:tcPr>
            <w:tcW w:w="1850" w:type="dxa"/>
            <w:gridSpan w:val="2"/>
            <w:shd w:val="clear" w:color="auto" w:fill="auto"/>
            <w:vAlign w:val="center"/>
          </w:tcPr>
          <w:p>
            <w:pPr>
              <w:adjustRightInd w:val="0"/>
              <w:snapToGrid w:val="0"/>
              <w:ind w:left="-107" w:leftChars="-51" w:right="-107" w:rightChars="-51"/>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904" w:type="dxa"/>
            <w:gridSpan w:val="4"/>
            <w:shd w:val="clear" w:color="auto" w:fill="auto"/>
            <w:vAlign w:val="center"/>
          </w:tcPr>
          <w:p>
            <w:pPr>
              <w:adjustRightInd w:val="0"/>
              <w:snapToGrid w:val="0"/>
              <w:ind w:left="-107" w:leftChars="-51" w:right="-107" w:rightChars="-51"/>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项目经理（建造师）</w:t>
            </w:r>
          </w:p>
          <w:p>
            <w:pPr>
              <w:adjustRightInd w:val="0"/>
              <w:snapToGrid w:val="0"/>
              <w:ind w:left="-107" w:leftChars="-51" w:right="-107" w:rightChars="-51"/>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资格证书编号</w:t>
            </w:r>
          </w:p>
        </w:tc>
        <w:tc>
          <w:tcPr>
            <w:tcW w:w="6386" w:type="dxa"/>
            <w:gridSpan w:val="6"/>
            <w:shd w:val="clear" w:color="auto" w:fill="auto"/>
            <w:vAlign w:val="center"/>
          </w:tcPr>
          <w:p>
            <w:pPr>
              <w:adjustRightInd w:val="0"/>
              <w:snapToGrid w:val="0"/>
              <w:ind w:left="-107" w:leftChars="-51" w:right="-107" w:rightChars="-51"/>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9290" w:type="dxa"/>
            <w:gridSpan w:val="10"/>
            <w:shd w:val="clear" w:color="auto" w:fill="auto"/>
            <w:vAlign w:val="center"/>
          </w:tcPr>
          <w:p>
            <w:pPr>
              <w:adjustRightInd w:val="0"/>
              <w:snapToGrid w:val="0"/>
              <w:ind w:left="-107" w:leftChars="-51" w:right="-107" w:rightChars="-51"/>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在建和已完工程项目情况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547" w:type="dxa"/>
            <w:gridSpan w:val="2"/>
            <w:shd w:val="clear" w:color="auto" w:fill="auto"/>
            <w:vAlign w:val="center"/>
          </w:tcPr>
          <w:p>
            <w:pPr>
              <w:adjustRightInd w:val="0"/>
              <w:snapToGrid w:val="0"/>
              <w:ind w:left="-107" w:leftChars="-51" w:right="-107" w:rightChars="-51"/>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建设单位</w:t>
            </w:r>
          </w:p>
        </w:tc>
        <w:tc>
          <w:tcPr>
            <w:tcW w:w="1551" w:type="dxa"/>
            <w:gridSpan w:val="3"/>
            <w:shd w:val="clear" w:color="auto" w:fill="auto"/>
            <w:vAlign w:val="center"/>
          </w:tcPr>
          <w:p>
            <w:pPr>
              <w:adjustRightInd w:val="0"/>
              <w:snapToGrid w:val="0"/>
              <w:ind w:left="-107" w:leftChars="-51" w:right="-107" w:rightChars="-51"/>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项目名称</w:t>
            </w:r>
          </w:p>
        </w:tc>
        <w:tc>
          <w:tcPr>
            <w:tcW w:w="1397" w:type="dxa"/>
            <w:shd w:val="clear" w:color="auto" w:fill="auto"/>
            <w:vAlign w:val="center"/>
          </w:tcPr>
          <w:p>
            <w:pPr>
              <w:adjustRightInd w:val="0"/>
              <w:snapToGrid w:val="0"/>
              <w:ind w:left="-107" w:leftChars="-51" w:right="-107" w:rightChars="-51"/>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建设规模</w:t>
            </w:r>
          </w:p>
        </w:tc>
        <w:tc>
          <w:tcPr>
            <w:tcW w:w="1975" w:type="dxa"/>
            <w:shd w:val="clear" w:color="auto" w:fill="auto"/>
            <w:vAlign w:val="center"/>
          </w:tcPr>
          <w:p>
            <w:pPr>
              <w:adjustRightInd w:val="0"/>
              <w:snapToGrid w:val="0"/>
              <w:ind w:left="-107" w:leftChars="-51" w:right="-107" w:rightChars="-51"/>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开、竣工日期</w:t>
            </w:r>
          </w:p>
        </w:tc>
        <w:tc>
          <w:tcPr>
            <w:tcW w:w="1466" w:type="dxa"/>
            <w:gridSpan w:val="2"/>
            <w:shd w:val="clear" w:color="auto" w:fill="auto"/>
            <w:vAlign w:val="center"/>
          </w:tcPr>
          <w:p>
            <w:pPr>
              <w:adjustRightInd w:val="0"/>
              <w:snapToGrid w:val="0"/>
              <w:ind w:left="-107" w:leftChars="-51" w:right="-107" w:rightChars="-51"/>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在建或已完</w:t>
            </w:r>
          </w:p>
        </w:tc>
        <w:tc>
          <w:tcPr>
            <w:tcW w:w="1354" w:type="dxa"/>
            <w:shd w:val="clear" w:color="auto" w:fill="auto"/>
            <w:vAlign w:val="center"/>
          </w:tcPr>
          <w:p>
            <w:pPr>
              <w:adjustRightInd w:val="0"/>
              <w:snapToGrid w:val="0"/>
              <w:ind w:left="-107" w:leftChars="-51" w:right="-107" w:rightChars="-51"/>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工程质量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547" w:type="dxa"/>
            <w:gridSpan w:val="2"/>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551" w:type="dxa"/>
            <w:gridSpan w:val="3"/>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397"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975"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466" w:type="dxa"/>
            <w:gridSpan w:val="2"/>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354"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547" w:type="dxa"/>
            <w:gridSpan w:val="2"/>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551" w:type="dxa"/>
            <w:gridSpan w:val="3"/>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397"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975"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466" w:type="dxa"/>
            <w:gridSpan w:val="2"/>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354"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547" w:type="dxa"/>
            <w:gridSpan w:val="2"/>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551" w:type="dxa"/>
            <w:gridSpan w:val="3"/>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397"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975"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466" w:type="dxa"/>
            <w:gridSpan w:val="2"/>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354"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547" w:type="dxa"/>
            <w:gridSpan w:val="2"/>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551" w:type="dxa"/>
            <w:gridSpan w:val="3"/>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397"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975"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466" w:type="dxa"/>
            <w:gridSpan w:val="2"/>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354"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547" w:type="dxa"/>
            <w:gridSpan w:val="2"/>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551" w:type="dxa"/>
            <w:gridSpan w:val="3"/>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397"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975"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466" w:type="dxa"/>
            <w:gridSpan w:val="2"/>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354"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547" w:type="dxa"/>
            <w:gridSpan w:val="2"/>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551" w:type="dxa"/>
            <w:gridSpan w:val="3"/>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397"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975"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466" w:type="dxa"/>
            <w:gridSpan w:val="2"/>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354"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547" w:type="dxa"/>
            <w:gridSpan w:val="2"/>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551" w:type="dxa"/>
            <w:gridSpan w:val="3"/>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397"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975"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466" w:type="dxa"/>
            <w:gridSpan w:val="2"/>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354"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547" w:type="dxa"/>
            <w:gridSpan w:val="2"/>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551" w:type="dxa"/>
            <w:gridSpan w:val="3"/>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397"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975"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466" w:type="dxa"/>
            <w:gridSpan w:val="2"/>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354"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547" w:type="dxa"/>
            <w:gridSpan w:val="2"/>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551" w:type="dxa"/>
            <w:gridSpan w:val="3"/>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397"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975"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466" w:type="dxa"/>
            <w:gridSpan w:val="2"/>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354"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547" w:type="dxa"/>
            <w:gridSpan w:val="2"/>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551" w:type="dxa"/>
            <w:gridSpan w:val="3"/>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397"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975"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466" w:type="dxa"/>
            <w:gridSpan w:val="2"/>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354"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547" w:type="dxa"/>
            <w:gridSpan w:val="2"/>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551" w:type="dxa"/>
            <w:gridSpan w:val="3"/>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397"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975"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466" w:type="dxa"/>
            <w:gridSpan w:val="2"/>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354"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547" w:type="dxa"/>
            <w:gridSpan w:val="2"/>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551" w:type="dxa"/>
            <w:gridSpan w:val="3"/>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397"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975"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466" w:type="dxa"/>
            <w:gridSpan w:val="2"/>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354"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547" w:type="dxa"/>
            <w:gridSpan w:val="2"/>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551" w:type="dxa"/>
            <w:gridSpan w:val="3"/>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397"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975"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466" w:type="dxa"/>
            <w:gridSpan w:val="2"/>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354"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547" w:type="dxa"/>
            <w:gridSpan w:val="2"/>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551" w:type="dxa"/>
            <w:gridSpan w:val="3"/>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397"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975"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466" w:type="dxa"/>
            <w:gridSpan w:val="2"/>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354"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547" w:type="dxa"/>
            <w:gridSpan w:val="2"/>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551" w:type="dxa"/>
            <w:gridSpan w:val="3"/>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397"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975"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466" w:type="dxa"/>
            <w:gridSpan w:val="2"/>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c>
          <w:tcPr>
            <w:tcW w:w="1354" w:type="dxa"/>
            <w:shd w:val="clear" w:color="auto" w:fill="auto"/>
            <w:vAlign w:val="center"/>
          </w:tcPr>
          <w:p>
            <w:pPr>
              <w:adjustRightInd w:val="0"/>
              <w:snapToGrid w:val="0"/>
              <w:spacing w:line="360" w:lineRule="auto"/>
              <w:rPr>
                <w:rFonts w:hint="eastAsia" w:ascii="宋体" w:hAnsi="宋体" w:eastAsia="宋体" w:cs="宋体"/>
                <w:kern w:val="0"/>
                <w:sz w:val="20"/>
                <w:szCs w:val="20"/>
                <w:highlight w:val="none"/>
              </w:rPr>
            </w:pPr>
          </w:p>
        </w:tc>
      </w:tr>
    </w:tbl>
    <w:p>
      <w:pPr>
        <w:spacing w:line="20" w:lineRule="exact"/>
        <w:rPr>
          <w:rFonts w:hint="eastAsia" w:ascii="宋体" w:hAnsi="宋体" w:eastAsia="宋体" w:cs="宋体"/>
          <w:highlight w:val="none"/>
        </w:rPr>
      </w:pPr>
      <w:r>
        <w:rPr>
          <w:rFonts w:hint="eastAsia" w:ascii="宋体" w:hAnsi="宋体" w:eastAsia="宋体" w:cs="宋体"/>
          <w:highlight w:val="none"/>
        </w:rPr>
        <w:br w:type="page"/>
      </w:r>
    </w:p>
    <w:p>
      <w:pPr>
        <w:adjustRightInd w:val="0"/>
        <w:snapToGrid w:val="0"/>
        <w:spacing w:line="360" w:lineRule="auto"/>
        <w:ind w:firstLine="602" w:firstLineChars="200"/>
        <w:rPr>
          <w:rFonts w:hint="eastAsia" w:ascii="宋体" w:hAnsi="宋体" w:eastAsia="宋体" w:cs="宋体"/>
          <w:b/>
          <w:bCs/>
          <w:sz w:val="28"/>
          <w:highlight w:val="none"/>
        </w:rPr>
      </w:pPr>
      <w:r>
        <w:rPr>
          <w:rFonts w:hint="eastAsia" w:ascii="宋体" w:hAnsi="宋体" w:eastAsia="宋体" w:cs="宋体"/>
          <w:b/>
          <w:bCs/>
          <w:sz w:val="30"/>
          <w:szCs w:val="30"/>
          <w:highlight w:val="none"/>
        </w:rPr>
        <w:t>3.技术负责人简历表</w:t>
      </w:r>
      <w:r>
        <w:rPr>
          <w:rFonts w:hint="eastAsia" w:ascii="宋体" w:hAnsi="宋体" w:eastAsia="宋体" w:cs="宋体"/>
          <w:color w:val="000000"/>
          <w:highlight w:val="none"/>
        </w:rPr>
        <w:t>（每个项目只能一个，必填项）</w:t>
      </w:r>
    </w:p>
    <w:tbl>
      <w:tblPr>
        <w:tblStyle w:val="39"/>
        <w:tblW w:w="92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3"/>
        <w:gridCol w:w="121"/>
        <w:gridCol w:w="580"/>
        <w:gridCol w:w="1003"/>
        <w:gridCol w:w="1458"/>
        <w:gridCol w:w="1975"/>
        <w:gridCol w:w="178"/>
        <w:gridCol w:w="581"/>
        <w:gridCol w:w="505"/>
        <w:gridCol w:w="281"/>
        <w:gridCol w:w="1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243"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姓名</w:t>
            </w:r>
          </w:p>
        </w:tc>
        <w:tc>
          <w:tcPr>
            <w:tcW w:w="1704" w:type="dxa"/>
            <w:gridSpan w:val="3"/>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45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性 别</w:t>
            </w:r>
          </w:p>
        </w:tc>
        <w:tc>
          <w:tcPr>
            <w:tcW w:w="2153"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086"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年  龄</w:t>
            </w:r>
          </w:p>
        </w:tc>
        <w:tc>
          <w:tcPr>
            <w:tcW w:w="1643"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243"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职务</w:t>
            </w:r>
          </w:p>
        </w:tc>
        <w:tc>
          <w:tcPr>
            <w:tcW w:w="1704" w:type="dxa"/>
            <w:gridSpan w:val="3"/>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45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职 称</w:t>
            </w:r>
          </w:p>
        </w:tc>
        <w:tc>
          <w:tcPr>
            <w:tcW w:w="2153"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086"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学  历</w:t>
            </w:r>
          </w:p>
        </w:tc>
        <w:tc>
          <w:tcPr>
            <w:tcW w:w="1643"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243" w:type="dxa"/>
            <w:shd w:val="clear" w:color="auto" w:fill="auto"/>
            <w:vAlign w:val="center"/>
          </w:tcPr>
          <w:p>
            <w:pPr>
              <w:adjustRightInd w:val="0"/>
              <w:snapToGrid w:val="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证件类型</w:t>
            </w:r>
          </w:p>
        </w:tc>
        <w:tc>
          <w:tcPr>
            <w:tcW w:w="1704" w:type="dxa"/>
            <w:gridSpan w:val="3"/>
            <w:shd w:val="clear" w:color="auto" w:fill="auto"/>
            <w:vAlign w:val="center"/>
          </w:tcPr>
          <w:p>
            <w:pPr>
              <w:adjustRightInd w:val="0"/>
              <w:snapToGrid w:val="0"/>
              <w:jc w:val="center"/>
              <w:rPr>
                <w:rFonts w:hint="eastAsia" w:ascii="宋体" w:hAnsi="宋体" w:eastAsia="宋体" w:cs="宋体"/>
                <w:color w:val="000000"/>
                <w:kern w:val="0"/>
                <w:sz w:val="21"/>
                <w:szCs w:val="21"/>
                <w:highlight w:val="none"/>
              </w:rPr>
            </w:pPr>
          </w:p>
        </w:tc>
        <w:tc>
          <w:tcPr>
            <w:tcW w:w="1458" w:type="dxa"/>
            <w:shd w:val="clear" w:color="auto" w:fill="auto"/>
            <w:vAlign w:val="center"/>
          </w:tcPr>
          <w:p>
            <w:pPr>
              <w:adjustRightInd w:val="0"/>
              <w:snapToGrid w:val="0"/>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证件号码</w:t>
            </w:r>
          </w:p>
        </w:tc>
        <w:tc>
          <w:tcPr>
            <w:tcW w:w="4882" w:type="dxa"/>
            <w:gridSpan w:val="6"/>
            <w:shd w:val="clear" w:color="auto" w:fill="auto"/>
            <w:vAlign w:val="center"/>
          </w:tcPr>
          <w:p>
            <w:pPr>
              <w:adjustRightInd w:val="0"/>
              <w:snapToGrid w:val="0"/>
              <w:jc w:val="center"/>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944" w:type="dxa"/>
            <w:gridSpan w:val="3"/>
            <w:shd w:val="clear" w:color="auto" w:fill="auto"/>
            <w:vAlign w:val="center"/>
          </w:tcPr>
          <w:p>
            <w:pPr>
              <w:adjustRightInd w:val="0"/>
              <w:snapToGrid w:val="0"/>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手机号码</w:t>
            </w:r>
          </w:p>
        </w:tc>
        <w:tc>
          <w:tcPr>
            <w:tcW w:w="2461" w:type="dxa"/>
            <w:gridSpan w:val="2"/>
            <w:shd w:val="clear" w:color="auto" w:fill="auto"/>
            <w:vAlign w:val="center"/>
          </w:tcPr>
          <w:p>
            <w:pPr>
              <w:adjustRightInd w:val="0"/>
              <w:snapToGrid w:val="0"/>
              <w:jc w:val="center"/>
              <w:rPr>
                <w:rFonts w:hint="eastAsia" w:ascii="宋体" w:hAnsi="宋体" w:eastAsia="宋体" w:cs="宋体"/>
                <w:color w:val="000000"/>
                <w:kern w:val="0"/>
                <w:sz w:val="21"/>
                <w:szCs w:val="21"/>
                <w:highlight w:val="none"/>
              </w:rPr>
            </w:pPr>
          </w:p>
        </w:tc>
        <w:tc>
          <w:tcPr>
            <w:tcW w:w="2734" w:type="dxa"/>
            <w:gridSpan w:val="3"/>
            <w:shd w:val="clear" w:color="auto" w:fill="auto"/>
            <w:vAlign w:val="center"/>
          </w:tcPr>
          <w:p>
            <w:pPr>
              <w:adjustRightInd w:val="0"/>
              <w:snapToGrid w:val="0"/>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证件号</w:t>
            </w:r>
            <w:r>
              <w:rPr>
                <w:rFonts w:hint="eastAsia" w:ascii="宋体" w:hAnsi="宋体" w:eastAsia="宋体" w:cs="宋体"/>
                <w:color w:val="000000"/>
                <w:kern w:val="0"/>
                <w:sz w:val="21"/>
                <w:szCs w:val="21"/>
                <w:highlight w:val="yellow"/>
              </w:rPr>
              <w:t>（</w:t>
            </w:r>
            <w:r>
              <w:rPr>
                <w:rFonts w:hint="eastAsia" w:ascii="宋体" w:hAnsi="宋体" w:eastAsia="宋体" w:cs="宋体"/>
                <w:color w:val="000000"/>
                <w:kern w:val="0"/>
                <w:sz w:val="21"/>
                <w:szCs w:val="21"/>
                <w:highlight w:val="yellow"/>
                <w:lang w:eastAsia="zh-CN"/>
              </w:rPr>
              <w:t>职称证书编号</w:t>
            </w:r>
            <w:r>
              <w:rPr>
                <w:rFonts w:hint="eastAsia" w:ascii="宋体" w:hAnsi="宋体" w:eastAsia="宋体" w:cs="宋体"/>
                <w:color w:val="000000"/>
                <w:kern w:val="0"/>
                <w:sz w:val="21"/>
                <w:szCs w:val="21"/>
                <w:highlight w:val="yellow"/>
              </w:rPr>
              <w:t>）</w:t>
            </w:r>
          </w:p>
        </w:tc>
        <w:tc>
          <w:tcPr>
            <w:tcW w:w="2148" w:type="dxa"/>
            <w:gridSpan w:val="3"/>
            <w:shd w:val="clear" w:color="auto" w:fill="auto"/>
            <w:vAlign w:val="center"/>
          </w:tcPr>
          <w:p>
            <w:pPr>
              <w:adjustRightInd w:val="0"/>
              <w:snapToGrid w:val="0"/>
              <w:jc w:val="center"/>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944" w:type="dxa"/>
            <w:gridSpan w:val="3"/>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参加工作时间</w:t>
            </w:r>
          </w:p>
        </w:tc>
        <w:tc>
          <w:tcPr>
            <w:tcW w:w="2461"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2734" w:type="dxa"/>
            <w:gridSpan w:val="3"/>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从事技术负责人年限</w:t>
            </w:r>
          </w:p>
        </w:tc>
        <w:tc>
          <w:tcPr>
            <w:tcW w:w="2148" w:type="dxa"/>
            <w:gridSpan w:val="3"/>
            <w:shd w:val="clear" w:color="auto" w:fill="auto"/>
            <w:vAlign w:val="center"/>
          </w:tcPr>
          <w:p>
            <w:pPr>
              <w:adjustRightInd w:val="0"/>
              <w:snapToGrid w:val="0"/>
              <w:jc w:val="center"/>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9287" w:type="dxa"/>
            <w:gridSpan w:val="11"/>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在建和已完工程项目情况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364"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建设单位</w:t>
            </w:r>
          </w:p>
        </w:tc>
        <w:tc>
          <w:tcPr>
            <w:tcW w:w="1583"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项目名称</w:t>
            </w:r>
          </w:p>
        </w:tc>
        <w:tc>
          <w:tcPr>
            <w:tcW w:w="145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建设规模</w:t>
            </w:r>
          </w:p>
        </w:tc>
        <w:tc>
          <w:tcPr>
            <w:tcW w:w="1975"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开、竣工日期</w:t>
            </w:r>
          </w:p>
        </w:tc>
        <w:tc>
          <w:tcPr>
            <w:tcW w:w="1545" w:type="dxa"/>
            <w:gridSpan w:val="4"/>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在建或已完</w:t>
            </w:r>
          </w:p>
        </w:tc>
        <w:tc>
          <w:tcPr>
            <w:tcW w:w="1362"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工程质量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364"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583"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45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975"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545" w:type="dxa"/>
            <w:gridSpan w:val="4"/>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362"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364"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583"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45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975"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545" w:type="dxa"/>
            <w:gridSpan w:val="4"/>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362"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364"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583"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45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975"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545" w:type="dxa"/>
            <w:gridSpan w:val="4"/>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362"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364"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583"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45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975"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545" w:type="dxa"/>
            <w:gridSpan w:val="4"/>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362"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364"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583"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45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975"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545" w:type="dxa"/>
            <w:gridSpan w:val="4"/>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362"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364"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583"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45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975"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545" w:type="dxa"/>
            <w:gridSpan w:val="4"/>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362"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364"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583"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45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975"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545" w:type="dxa"/>
            <w:gridSpan w:val="4"/>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362"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364"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583"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45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975"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545" w:type="dxa"/>
            <w:gridSpan w:val="4"/>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362"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364"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583"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45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975"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545" w:type="dxa"/>
            <w:gridSpan w:val="4"/>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362"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364"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583"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45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975"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545" w:type="dxa"/>
            <w:gridSpan w:val="4"/>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362"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364"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583"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45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975"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545" w:type="dxa"/>
            <w:gridSpan w:val="4"/>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362"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364"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583"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45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975"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545" w:type="dxa"/>
            <w:gridSpan w:val="4"/>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362"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364"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583"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45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975"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545" w:type="dxa"/>
            <w:gridSpan w:val="4"/>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362"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364"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583"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45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975"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545" w:type="dxa"/>
            <w:gridSpan w:val="4"/>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362"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364"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583"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45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975"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545" w:type="dxa"/>
            <w:gridSpan w:val="4"/>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362"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364"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583" w:type="dxa"/>
            <w:gridSpan w:val="2"/>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458"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975"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545" w:type="dxa"/>
            <w:gridSpan w:val="4"/>
            <w:shd w:val="clear" w:color="auto" w:fill="auto"/>
            <w:vAlign w:val="center"/>
          </w:tcPr>
          <w:p>
            <w:pPr>
              <w:adjustRightInd w:val="0"/>
              <w:snapToGrid w:val="0"/>
              <w:jc w:val="center"/>
              <w:rPr>
                <w:rFonts w:hint="eastAsia" w:ascii="宋体" w:hAnsi="宋体" w:eastAsia="宋体" w:cs="宋体"/>
                <w:kern w:val="0"/>
                <w:sz w:val="21"/>
                <w:szCs w:val="21"/>
                <w:highlight w:val="none"/>
              </w:rPr>
            </w:pPr>
          </w:p>
        </w:tc>
        <w:tc>
          <w:tcPr>
            <w:tcW w:w="1362" w:type="dxa"/>
            <w:shd w:val="clear" w:color="auto" w:fill="auto"/>
            <w:vAlign w:val="center"/>
          </w:tcPr>
          <w:p>
            <w:pPr>
              <w:adjustRightInd w:val="0"/>
              <w:snapToGrid w:val="0"/>
              <w:jc w:val="center"/>
              <w:rPr>
                <w:rFonts w:hint="eastAsia" w:ascii="宋体" w:hAnsi="宋体" w:eastAsia="宋体" w:cs="宋体"/>
                <w:kern w:val="0"/>
                <w:sz w:val="21"/>
                <w:szCs w:val="21"/>
                <w:highlight w:val="none"/>
              </w:rPr>
            </w:pPr>
          </w:p>
        </w:tc>
      </w:tr>
    </w:tbl>
    <w:p>
      <w:pPr>
        <w:spacing w:line="20" w:lineRule="exact"/>
        <w:rPr>
          <w:rFonts w:hint="eastAsia" w:ascii="宋体" w:hAnsi="宋体" w:eastAsia="宋体" w:cs="宋体"/>
          <w:highlight w:val="none"/>
        </w:rPr>
      </w:pPr>
      <w:r>
        <w:rPr>
          <w:rFonts w:hint="eastAsia" w:ascii="宋体" w:hAnsi="宋体" w:eastAsia="宋体" w:cs="宋体"/>
          <w:highlight w:val="none"/>
        </w:rPr>
        <w:br w:type="page"/>
      </w:r>
    </w:p>
    <w:p>
      <w:pPr>
        <w:adjustRightInd w:val="0"/>
        <w:snapToGrid w:val="0"/>
        <w:spacing w:line="360" w:lineRule="auto"/>
        <w:ind w:firstLine="705" w:firstLineChars="234"/>
        <w:rPr>
          <w:rFonts w:hint="eastAsia" w:ascii="宋体" w:hAnsi="宋体" w:eastAsia="宋体" w:cs="宋体"/>
          <w:b/>
          <w:bCs/>
          <w:color w:val="000000"/>
          <w:sz w:val="28"/>
          <w:highlight w:val="none"/>
        </w:rPr>
      </w:pPr>
      <w:r>
        <w:rPr>
          <w:rFonts w:hint="eastAsia" w:ascii="宋体" w:hAnsi="宋体" w:eastAsia="宋体" w:cs="宋体"/>
          <w:b/>
          <w:bCs/>
          <w:color w:val="000000"/>
          <w:sz w:val="30"/>
          <w:szCs w:val="30"/>
          <w:highlight w:val="none"/>
        </w:rPr>
        <w:t>4.质量负责人信息表</w:t>
      </w:r>
      <w:r>
        <w:rPr>
          <w:rFonts w:hint="eastAsia" w:ascii="宋体" w:hAnsi="宋体" w:eastAsia="宋体" w:cs="宋体"/>
          <w:color w:val="000000"/>
          <w:highlight w:val="none"/>
        </w:rPr>
        <w:t>（每个项目只能一个，必填项）</w:t>
      </w:r>
    </w:p>
    <w:tbl>
      <w:tblPr>
        <w:tblStyle w:val="38"/>
        <w:tblW w:w="92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3"/>
        <w:gridCol w:w="1837"/>
        <w:gridCol w:w="1178"/>
        <w:gridCol w:w="1365"/>
        <w:gridCol w:w="1200"/>
        <w:gridCol w:w="2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103" w:type="dxa"/>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姓名</w:t>
            </w:r>
          </w:p>
        </w:tc>
        <w:tc>
          <w:tcPr>
            <w:tcW w:w="1837" w:type="dxa"/>
            <w:vAlign w:val="center"/>
          </w:tcPr>
          <w:p>
            <w:pPr>
              <w:adjustRightInd w:val="0"/>
              <w:snapToGrid w:val="0"/>
              <w:jc w:val="center"/>
              <w:rPr>
                <w:rFonts w:hint="eastAsia" w:ascii="宋体" w:hAnsi="宋体" w:eastAsia="宋体" w:cs="宋体"/>
                <w:color w:val="000000"/>
                <w:szCs w:val="21"/>
                <w:highlight w:val="none"/>
              </w:rPr>
            </w:pPr>
          </w:p>
        </w:tc>
        <w:tc>
          <w:tcPr>
            <w:tcW w:w="1178" w:type="dxa"/>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证件类型</w:t>
            </w:r>
          </w:p>
        </w:tc>
        <w:tc>
          <w:tcPr>
            <w:tcW w:w="1365" w:type="dxa"/>
            <w:vAlign w:val="center"/>
          </w:tcPr>
          <w:p>
            <w:pPr>
              <w:adjustRightInd w:val="0"/>
              <w:snapToGrid w:val="0"/>
              <w:jc w:val="center"/>
              <w:rPr>
                <w:rFonts w:hint="eastAsia" w:ascii="宋体" w:hAnsi="宋体" w:eastAsia="宋体" w:cs="宋体"/>
                <w:color w:val="000000"/>
                <w:szCs w:val="21"/>
                <w:highlight w:val="none"/>
              </w:rPr>
            </w:pPr>
          </w:p>
        </w:tc>
        <w:tc>
          <w:tcPr>
            <w:tcW w:w="1200" w:type="dxa"/>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证件号码</w:t>
            </w:r>
          </w:p>
        </w:tc>
        <w:tc>
          <w:tcPr>
            <w:tcW w:w="2606" w:type="dxa"/>
            <w:vAlign w:val="center"/>
          </w:tcPr>
          <w:p>
            <w:pPr>
              <w:adjustRightInd w:val="0"/>
              <w:snapToGrid w:val="0"/>
              <w:jc w:val="center"/>
              <w:rPr>
                <w:rFonts w:hint="eastAsia" w:ascii="宋体" w:hAnsi="宋体" w:eastAsia="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103" w:type="dxa"/>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手机号码</w:t>
            </w:r>
          </w:p>
        </w:tc>
        <w:tc>
          <w:tcPr>
            <w:tcW w:w="3015" w:type="dxa"/>
            <w:gridSpan w:val="2"/>
            <w:vAlign w:val="center"/>
          </w:tcPr>
          <w:p>
            <w:pPr>
              <w:adjustRightInd w:val="0"/>
              <w:snapToGrid w:val="0"/>
              <w:jc w:val="center"/>
              <w:rPr>
                <w:rFonts w:hint="eastAsia" w:ascii="宋体" w:hAnsi="宋体" w:eastAsia="宋体" w:cs="宋体"/>
                <w:color w:val="000000"/>
                <w:szCs w:val="21"/>
                <w:highlight w:val="none"/>
              </w:rPr>
            </w:pPr>
          </w:p>
        </w:tc>
        <w:tc>
          <w:tcPr>
            <w:tcW w:w="2565" w:type="dxa"/>
            <w:gridSpan w:val="2"/>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证件号</w:t>
            </w:r>
            <w:r>
              <w:rPr>
                <w:rFonts w:hint="eastAsia" w:ascii="宋体" w:hAnsi="宋体" w:eastAsia="宋体" w:cs="宋体"/>
                <w:color w:val="000000"/>
                <w:szCs w:val="21"/>
                <w:highlight w:val="yellow"/>
              </w:rPr>
              <w:t>（</w:t>
            </w:r>
            <w:r>
              <w:rPr>
                <w:rFonts w:hint="eastAsia" w:ascii="宋体" w:hAnsi="宋体" w:eastAsia="宋体" w:cs="宋体"/>
                <w:color w:val="000000"/>
                <w:szCs w:val="21"/>
                <w:highlight w:val="yellow"/>
                <w:lang w:eastAsia="zh-CN"/>
              </w:rPr>
              <w:t>质量员证编号</w:t>
            </w:r>
            <w:r>
              <w:rPr>
                <w:rFonts w:hint="eastAsia" w:ascii="宋体" w:hAnsi="宋体" w:eastAsia="宋体" w:cs="宋体"/>
                <w:color w:val="000000"/>
                <w:szCs w:val="21"/>
                <w:highlight w:val="yellow"/>
              </w:rPr>
              <w:t>）</w:t>
            </w:r>
          </w:p>
        </w:tc>
        <w:tc>
          <w:tcPr>
            <w:tcW w:w="2606" w:type="dxa"/>
            <w:vAlign w:val="center"/>
          </w:tcPr>
          <w:p>
            <w:pPr>
              <w:adjustRightInd w:val="0"/>
              <w:snapToGrid w:val="0"/>
              <w:jc w:val="center"/>
              <w:rPr>
                <w:rFonts w:hint="eastAsia" w:ascii="宋体" w:hAnsi="宋体" w:eastAsia="宋体" w:cs="宋体"/>
                <w:color w:val="000000"/>
                <w:szCs w:val="21"/>
                <w:highlight w:val="none"/>
              </w:rPr>
            </w:pPr>
          </w:p>
        </w:tc>
      </w:tr>
    </w:tbl>
    <w:p>
      <w:pPr>
        <w:adjustRightInd w:val="0"/>
        <w:snapToGrid w:val="0"/>
        <w:spacing w:line="360" w:lineRule="auto"/>
        <w:ind w:firstLine="658" w:firstLineChars="234"/>
        <w:rPr>
          <w:rFonts w:hint="eastAsia" w:ascii="宋体" w:hAnsi="宋体" w:eastAsia="宋体" w:cs="宋体"/>
          <w:b/>
          <w:bCs/>
          <w:color w:val="000000"/>
          <w:sz w:val="28"/>
          <w:highlight w:val="none"/>
        </w:rPr>
      </w:pPr>
    </w:p>
    <w:p>
      <w:pPr>
        <w:adjustRightInd w:val="0"/>
        <w:snapToGrid w:val="0"/>
        <w:spacing w:line="360" w:lineRule="auto"/>
        <w:ind w:firstLine="705" w:firstLineChars="234"/>
        <w:rPr>
          <w:rFonts w:hint="eastAsia" w:ascii="宋体" w:hAnsi="宋体" w:eastAsia="宋体" w:cs="宋体"/>
          <w:b/>
          <w:bCs/>
          <w:color w:val="000000"/>
          <w:sz w:val="28"/>
          <w:highlight w:val="none"/>
        </w:rPr>
      </w:pPr>
      <w:r>
        <w:rPr>
          <w:rFonts w:hint="eastAsia" w:ascii="宋体" w:hAnsi="宋体" w:eastAsia="宋体" w:cs="宋体"/>
          <w:b/>
          <w:bCs/>
          <w:color w:val="000000"/>
          <w:sz w:val="30"/>
          <w:szCs w:val="30"/>
          <w:highlight w:val="none"/>
        </w:rPr>
        <w:t>5.安全负责人信息表</w:t>
      </w:r>
      <w:r>
        <w:rPr>
          <w:rFonts w:hint="eastAsia" w:ascii="宋体" w:hAnsi="宋体" w:eastAsia="宋体" w:cs="宋体"/>
          <w:color w:val="000000"/>
          <w:highlight w:val="none"/>
        </w:rPr>
        <w:t>（每个项目只能一个，必填项）</w:t>
      </w:r>
    </w:p>
    <w:tbl>
      <w:tblPr>
        <w:tblStyle w:val="38"/>
        <w:tblW w:w="92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3"/>
        <w:gridCol w:w="1837"/>
        <w:gridCol w:w="1178"/>
        <w:gridCol w:w="1380"/>
        <w:gridCol w:w="1200"/>
        <w:gridCol w:w="2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103" w:type="dxa"/>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姓名</w:t>
            </w:r>
          </w:p>
        </w:tc>
        <w:tc>
          <w:tcPr>
            <w:tcW w:w="1837" w:type="dxa"/>
            <w:vAlign w:val="center"/>
          </w:tcPr>
          <w:p>
            <w:pPr>
              <w:adjustRightInd w:val="0"/>
              <w:snapToGrid w:val="0"/>
              <w:jc w:val="center"/>
              <w:rPr>
                <w:rFonts w:hint="eastAsia" w:ascii="宋体" w:hAnsi="宋体" w:eastAsia="宋体" w:cs="宋体"/>
                <w:color w:val="000000"/>
                <w:szCs w:val="21"/>
                <w:highlight w:val="none"/>
              </w:rPr>
            </w:pPr>
          </w:p>
        </w:tc>
        <w:tc>
          <w:tcPr>
            <w:tcW w:w="1178" w:type="dxa"/>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证件类型</w:t>
            </w:r>
          </w:p>
        </w:tc>
        <w:tc>
          <w:tcPr>
            <w:tcW w:w="1380" w:type="dxa"/>
            <w:vAlign w:val="center"/>
          </w:tcPr>
          <w:p>
            <w:pPr>
              <w:adjustRightInd w:val="0"/>
              <w:snapToGrid w:val="0"/>
              <w:jc w:val="center"/>
              <w:rPr>
                <w:rFonts w:hint="eastAsia" w:ascii="宋体" w:hAnsi="宋体" w:eastAsia="宋体" w:cs="宋体"/>
                <w:color w:val="000000"/>
                <w:szCs w:val="21"/>
                <w:highlight w:val="none"/>
              </w:rPr>
            </w:pPr>
          </w:p>
        </w:tc>
        <w:tc>
          <w:tcPr>
            <w:tcW w:w="1200" w:type="dxa"/>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证件号码</w:t>
            </w:r>
          </w:p>
        </w:tc>
        <w:tc>
          <w:tcPr>
            <w:tcW w:w="2591" w:type="dxa"/>
            <w:vAlign w:val="center"/>
          </w:tcPr>
          <w:p>
            <w:pPr>
              <w:adjustRightInd w:val="0"/>
              <w:snapToGrid w:val="0"/>
              <w:jc w:val="center"/>
              <w:rPr>
                <w:rFonts w:hint="eastAsia" w:ascii="宋体" w:hAnsi="宋体" w:eastAsia="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103" w:type="dxa"/>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手机号码</w:t>
            </w:r>
          </w:p>
        </w:tc>
        <w:tc>
          <w:tcPr>
            <w:tcW w:w="3015" w:type="dxa"/>
            <w:gridSpan w:val="2"/>
            <w:vAlign w:val="center"/>
          </w:tcPr>
          <w:p>
            <w:pPr>
              <w:adjustRightInd w:val="0"/>
              <w:snapToGrid w:val="0"/>
              <w:jc w:val="center"/>
              <w:rPr>
                <w:rFonts w:hint="eastAsia" w:ascii="宋体" w:hAnsi="宋体" w:eastAsia="宋体" w:cs="宋体"/>
                <w:color w:val="000000"/>
                <w:szCs w:val="21"/>
                <w:highlight w:val="none"/>
              </w:rPr>
            </w:pPr>
          </w:p>
        </w:tc>
        <w:tc>
          <w:tcPr>
            <w:tcW w:w="2580" w:type="dxa"/>
            <w:gridSpan w:val="2"/>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证件号</w:t>
            </w:r>
            <w:r>
              <w:rPr>
                <w:rFonts w:hint="eastAsia" w:ascii="宋体" w:hAnsi="宋体" w:eastAsia="宋体" w:cs="宋体"/>
                <w:color w:val="000000"/>
                <w:szCs w:val="21"/>
                <w:highlight w:val="yellow"/>
              </w:rPr>
              <w:t>（</w:t>
            </w:r>
            <w:r>
              <w:rPr>
                <w:rFonts w:hint="eastAsia" w:ascii="宋体" w:hAnsi="宋体" w:eastAsia="宋体" w:cs="宋体"/>
                <w:color w:val="000000"/>
                <w:szCs w:val="21"/>
                <w:highlight w:val="yellow"/>
                <w:lang w:val="en-US" w:eastAsia="zh-CN"/>
              </w:rPr>
              <w:t>C证编号</w:t>
            </w:r>
            <w:r>
              <w:rPr>
                <w:rFonts w:hint="eastAsia" w:ascii="宋体" w:hAnsi="宋体" w:eastAsia="宋体" w:cs="宋体"/>
                <w:color w:val="000000"/>
                <w:szCs w:val="21"/>
                <w:highlight w:val="yellow"/>
              </w:rPr>
              <w:t>）</w:t>
            </w:r>
          </w:p>
        </w:tc>
        <w:tc>
          <w:tcPr>
            <w:tcW w:w="2591" w:type="dxa"/>
            <w:vAlign w:val="center"/>
          </w:tcPr>
          <w:p>
            <w:pPr>
              <w:adjustRightInd w:val="0"/>
              <w:snapToGrid w:val="0"/>
              <w:jc w:val="center"/>
              <w:rPr>
                <w:rFonts w:hint="eastAsia" w:ascii="宋体" w:hAnsi="宋体" w:eastAsia="宋体" w:cs="宋体"/>
                <w:color w:val="000000"/>
                <w:szCs w:val="21"/>
                <w:highlight w:val="none"/>
              </w:rPr>
            </w:pPr>
          </w:p>
        </w:tc>
      </w:tr>
    </w:tbl>
    <w:p>
      <w:pPr>
        <w:adjustRightInd w:val="0"/>
        <w:snapToGrid w:val="0"/>
        <w:spacing w:line="360" w:lineRule="auto"/>
        <w:ind w:firstLine="658" w:firstLineChars="234"/>
        <w:rPr>
          <w:rFonts w:hint="eastAsia" w:ascii="宋体" w:hAnsi="宋体" w:eastAsia="宋体" w:cs="宋体"/>
          <w:b/>
          <w:bCs/>
          <w:color w:val="000000"/>
          <w:sz w:val="28"/>
          <w:highlight w:val="none"/>
        </w:rPr>
      </w:pPr>
    </w:p>
    <w:p>
      <w:pPr>
        <w:adjustRightInd w:val="0"/>
        <w:snapToGrid w:val="0"/>
        <w:ind w:firstLine="602" w:firstLineChars="200"/>
        <w:rPr>
          <w:rFonts w:hint="eastAsia" w:ascii="宋体" w:hAnsi="宋体" w:eastAsia="宋体" w:cs="宋体"/>
          <w:b/>
          <w:bCs/>
          <w:color w:val="000000"/>
          <w:sz w:val="28"/>
          <w:highlight w:val="none"/>
        </w:rPr>
      </w:pPr>
      <w:r>
        <w:rPr>
          <w:rFonts w:hint="eastAsia" w:ascii="宋体" w:hAnsi="宋体" w:eastAsia="宋体" w:cs="宋体"/>
          <w:b/>
          <w:bCs/>
          <w:color w:val="000000"/>
          <w:sz w:val="30"/>
          <w:szCs w:val="30"/>
          <w:highlight w:val="none"/>
        </w:rPr>
        <w:t>6.安全员信息表</w:t>
      </w:r>
      <w:r>
        <w:rPr>
          <w:rFonts w:hint="eastAsia" w:ascii="宋体" w:hAnsi="宋体" w:eastAsia="宋体" w:cs="宋体"/>
          <w:color w:val="000000"/>
          <w:highlight w:val="none"/>
        </w:rPr>
        <w:t>（每个项目可多个，</w:t>
      </w:r>
      <w:r>
        <w:rPr>
          <w:rFonts w:hint="eastAsia" w:ascii="宋体" w:hAnsi="宋体" w:eastAsia="宋体" w:cs="宋体"/>
          <w:color w:val="000000"/>
          <w:highlight w:val="none"/>
          <w:lang w:eastAsia="zh-CN"/>
        </w:rPr>
        <w:t>必</w:t>
      </w:r>
      <w:r>
        <w:rPr>
          <w:rFonts w:hint="eastAsia" w:ascii="宋体" w:hAnsi="宋体" w:eastAsia="宋体" w:cs="宋体"/>
          <w:color w:val="000000"/>
          <w:szCs w:val="21"/>
          <w:highlight w:val="none"/>
        </w:rPr>
        <w:t>填项</w:t>
      </w:r>
      <w:r>
        <w:rPr>
          <w:rFonts w:hint="eastAsia" w:ascii="宋体" w:hAnsi="宋体" w:eastAsia="宋体" w:cs="宋体"/>
          <w:color w:val="000000"/>
          <w:highlight w:val="none"/>
        </w:rPr>
        <w:t>）</w:t>
      </w:r>
    </w:p>
    <w:tbl>
      <w:tblPr>
        <w:tblStyle w:val="38"/>
        <w:tblW w:w="92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3"/>
        <w:gridCol w:w="1837"/>
        <w:gridCol w:w="1178"/>
        <w:gridCol w:w="1380"/>
        <w:gridCol w:w="1215"/>
        <w:gridCol w:w="2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103" w:type="dxa"/>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姓名</w:t>
            </w:r>
          </w:p>
        </w:tc>
        <w:tc>
          <w:tcPr>
            <w:tcW w:w="1837" w:type="dxa"/>
            <w:vAlign w:val="center"/>
          </w:tcPr>
          <w:p>
            <w:pPr>
              <w:adjustRightInd w:val="0"/>
              <w:snapToGrid w:val="0"/>
              <w:jc w:val="center"/>
              <w:rPr>
                <w:rFonts w:hint="eastAsia" w:ascii="宋体" w:hAnsi="宋体" w:eastAsia="宋体" w:cs="宋体"/>
                <w:color w:val="000000"/>
                <w:szCs w:val="21"/>
                <w:highlight w:val="none"/>
              </w:rPr>
            </w:pPr>
          </w:p>
        </w:tc>
        <w:tc>
          <w:tcPr>
            <w:tcW w:w="1178" w:type="dxa"/>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证件类型</w:t>
            </w:r>
          </w:p>
        </w:tc>
        <w:tc>
          <w:tcPr>
            <w:tcW w:w="1380" w:type="dxa"/>
            <w:vAlign w:val="center"/>
          </w:tcPr>
          <w:p>
            <w:pPr>
              <w:adjustRightInd w:val="0"/>
              <w:snapToGrid w:val="0"/>
              <w:jc w:val="center"/>
              <w:rPr>
                <w:rFonts w:hint="eastAsia" w:ascii="宋体" w:hAnsi="宋体" w:eastAsia="宋体" w:cs="宋体"/>
                <w:color w:val="000000"/>
                <w:szCs w:val="21"/>
                <w:highlight w:val="none"/>
              </w:rPr>
            </w:pPr>
          </w:p>
        </w:tc>
        <w:tc>
          <w:tcPr>
            <w:tcW w:w="1215" w:type="dxa"/>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证件号码</w:t>
            </w:r>
          </w:p>
        </w:tc>
        <w:tc>
          <w:tcPr>
            <w:tcW w:w="2576" w:type="dxa"/>
            <w:vAlign w:val="center"/>
          </w:tcPr>
          <w:p>
            <w:pPr>
              <w:adjustRightInd w:val="0"/>
              <w:snapToGrid w:val="0"/>
              <w:jc w:val="center"/>
              <w:rPr>
                <w:rFonts w:hint="eastAsia" w:ascii="宋体" w:hAnsi="宋体" w:eastAsia="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103" w:type="dxa"/>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手机号码</w:t>
            </w:r>
          </w:p>
        </w:tc>
        <w:tc>
          <w:tcPr>
            <w:tcW w:w="3015" w:type="dxa"/>
            <w:gridSpan w:val="2"/>
            <w:vAlign w:val="center"/>
          </w:tcPr>
          <w:p>
            <w:pPr>
              <w:adjustRightInd w:val="0"/>
              <w:snapToGrid w:val="0"/>
              <w:jc w:val="center"/>
              <w:rPr>
                <w:rFonts w:hint="eastAsia" w:ascii="宋体" w:hAnsi="宋体" w:eastAsia="宋体" w:cs="宋体"/>
                <w:color w:val="000000"/>
                <w:szCs w:val="21"/>
                <w:highlight w:val="none"/>
              </w:rPr>
            </w:pPr>
          </w:p>
        </w:tc>
        <w:tc>
          <w:tcPr>
            <w:tcW w:w="2595" w:type="dxa"/>
            <w:gridSpan w:val="2"/>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证件号</w:t>
            </w:r>
            <w:r>
              <w:rPr>
                <w:rFonts w:hint="eastAsia" w:ascii="宋体" w:hAnsi="宋体" w:eastAsia="宋体" w:cs="宋体"/>
                <w:color w:val="000000"/>
                <w:szCs w:val="21"/>
                <w:highlight w:val="yellow"/>
              </w:rPr>
              <w:t>（</w:t>
            </w:r>
            <w:r>
              <w:rPr>
                <w:rFonts w:hint="eastAsia" w:ascii="宋体" w:hAnsi="宋体" w:eastAsia="宋体" w:cs="宋体"/>
                <w:color w:val="000000"/>
                <w:szCs w:val="21"/>
                <w:highlight w:val="yellow"/>
                <w:lang w:val="en-US" w:eastAsia="zh-CN"/>
              </w:rPr>
              <w:t>C证编号</w:t>
            </w:r>
            <w:r>
              <w:rPr>
                <w:rFonts w:hint="eastAsia" w:ascii="宋体" w:hAnsi="宋体" w:eastAsia="宋体" w:cs="宋体"/>
                <w:color w:val="000000"/>
                <w:szCs w:val="21"/>
                <w:highlight w:val="yellow"/>
              </w:rPr>
              <w:t>）</w:t>
            </w:r>
          </w:p>
        </w:tc>
        <w:tc>
          <w:tcPr>
            <w:tcW w:w="2576" w:type="dxa"/>
            <w:vAlign w:val="center"/>
          </w:tcPr>
          <w:p>
            <w:pPr>
              <w:adjustRightInd w:val="0"/>
              <w:snapToGrid w:val="0"/>
              <w:jc w:val="center"/>
              <w:rPr>
                <w:rFonts w:hint="eastAsia" w:ascii="宋体" w:hAnsi="宋体" w:eastAsia="宋体" w:cs="宋体"/>
                <w:color w:val="000000"/>
                <w:szCs w:val="21"/>
                <w:highlight w:val="none"/>
              </w:rPr>
            </w:pPr>
          </w:p>
        </w:tc>
      </w:tr>
    </w:tbl>
    <w:p>
      <w:pPr>
        <w:adjustRightInd w:val="0"/>
        <w:snapToGrid w:val="0"/>
        <w:spacing w:line="360" w:lineRule="auto"/>
        <w:ind w:firstLine="658" w:firstLineChars="234"/>
        <w:rPr>
          <w:rFonts w:hint="eastAsia" w:ascii="宋体" w:hAnsi="宋体" w:eastAsia="宋体" w:cs="宋体"/>
          <w:b/>
          <w:bCs/>
          <w:color w:val="000000"/>
          <w:sz w:val="28"/>
          <w:highlight w:val="none"/>
        </w:rPr>
      </w:pPr>
    </w:p>
    <w:p>
      <w:pPr>
        <w:adjustRightInd w:val="0"/>
        <w:snapToGrid w:val="0"/>
        <w:spacing w:line="360" w:lineRule="auto"/>
        <w:ind w:firstLine="705" w:firstLineChars="234"/>
        <w:rPr>
          <w:rFonts w:hint="eastAsia" w:ascii="宋体" w:hAnsi="宋体" w:eastAsia="宋体" w:cs="宋体"/>
          <w:b/>
          <w:bCs/>
          <w:color w:val="000000"/>
          <w:sz w:val="28"/>
          <w:highlight w:val="none"/>
        </w:rPr>
      </w:pPr>
      <w:r>
        <w:rPr>
          <w:rFonts w:hint="eastAsia" w:ascii="宋体" w:hAnsi="宋体" w:eastAsia="宋体" w:cs="宋体"/>
          <w:b/>
          <w:bCs/>
          <w:color w:val="000000"/>
          <w:sz w:val="30"/>
          <w:szCs w:val="30"/>
          <w:highlight w:val="none"/>
        </w:rPr>
        <w:t>7.劳资专管员信息表</w:t>
      </w:r>
      <w:r>
        <w:rPr>
          <w:rFonts w:hint="eastAsia" w:ascii="宋体" w:hAnsi="宋体" w:eastAsia="宋体" w:cs="宋体"/>
          <w:color w:val="000000"/>
          <w:highlight w:val="none"/>
        </w:rPr>
        <w:t>（每个项目可多个，</w:t>
      </w:r>
      <w:r>
        <w:rPr>
          <w:rFonts w:hint="eastAsia" w:ascii="宋体" w:hAnsi="宋体" w:eastAsia="宋体" w:cs="宋体"/>
          <w:color w:val="000000"/>
          <w:szCs w:val="21"/>
          <w:highlight w:val="none"/>
        </w:rPr>
        <w:t>必填项</w:t>
      </w:r>
      <w:r>
        <w:rPr>
          <w:rFonts w:hint="eastAsia" w:ascii="宋体" w:hAnsi="宋体" w:eastAsia="宋体" w:cs="宋体"/>
          <w:color w:val="000000"/>
          <w:highlight w:val="none"/>
        </w:rPr>
        <w:t>）</w:t>
      </w:r>
    </w:p>
    <w:tbl>
      <w:tblPr>
        <w:tblStyle w:val="38"/>
        <w:tblW w:w="92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3"/>
        <w:gridCol w:w="1837"/>
        <w:gridCol w:w="1178"/>
        <w:gridCol w:w="1380"/>
        <w:gridCol w:w="1215"/>
        <w:gridCol w:w="2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103" w:type="dxa"/>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姓名</w:t>
            </w:r>
          </w:p>
        </w:tc>
        <w:tc>
          <w:tcPr>
            <w:tcW w:w="1837" w:type="dxa"/>
            <w:vAlign w:val="center"/>
          </w:tcPr>
          <w:p>
            <w:pPr>
              <w:adjustRightInd w:val="0"/>
              <w:snapToGrid w:val="0"/>
              <w:jc w:val="center"/>
              <w:rPr>
                <w:rFonts w:hint="eastAsia" w:ascii="宋体" w:hAnsi="宋体" w:eastAsia="宋体" w:cs="宋体"/>
                <w:color w:val="000000"/>
                <w:szCs w:val="21"/>
                <w:highlight w:val="none"/>
              </w:rPr>
            </w:pPr>
          </w:p>
        </w:tc>
        <w:tc>
          <w:tcPr>
            <w:tcW w:w="1178" w:type="dxa"/>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证件类型</w:t>
            </w:r>
          </w:p>
        </w:tc>
        <w:tc>
          <w:tcPr>
            <w:tcW w:w="1380" w:type="dxa"/>
            <w:vAlign w:val="center"/>
          </w:tcPr>
          <w:p>
            <w:pPr>
              <w:adjustRightInd w:val="0"/>
              <w:snapToGrid w:val="0"/>
              <w:jc w:val="center"/>
              <w:rPr>
                <w:rFonts w:hint="eastAsia" w:ascii="宋体" w:hAnsi="宋体" w:eastAsia="宋体" w:cs="宋体"/>
                <w:color w:val="000000"/>
                <w:szCs w:val="21"/>
                <w:highlight w:val="none"/>
              </w:rPr>
            </w:pPr>
          </w:p>
        </w:tc>
        <w:tc>
          <w:tcPr>
            <w:tcW w:w="1215" w:type="dxa"/>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证件号码</w:t>
            </w:r>
          </w:p>
        </w:tc>
        <w:tc>
          <w:tcPr>
            <w:tcW w:w="2576" w:type="dxa"/>
            <w:vAlign w:val="center"/>
          </w:tcPr>
          <w:p>
            <w:pPr>
              <w:adjustRightInd w:val="0"/>
              <w:snapToGrid w:val="0"/>
              <w:jc w:val="center"/>
              <w:rPr>
                <w:rFonts w:hint="eastAsia" w:ascii="宋体" w:hAnsi="宋体" w:eastAsia="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103" w:type="dxa"/>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手机号码</w:t>
            </w:r>
          </w:p>
        </w:tc>
        <w:tc>
          <w:tcPr>
            <w:tcW w:w="3015" w:type="dxa"/>
            <w:gridSpan w:val="2"/>
            <w:vAlign w:val="center"/>
          </w:tcPr>
          <w:p>
            <w:pPr>
              <w:adjustRightInd w:val="0"/>
              <w:snapToGrid w:val="0"/>
              <w:jc w:val="center"/>
              <w:rPr>
                <w:rFonts w:hint="eastAsia" w:ascii="宋体" w:hAnsi="宋体" w:eastAsia="宋体" w:cs="宋体"/>
                <w:color w:val="000000"/>
                <w:szCs w:val="21"/>
                <w:highlight w:val="none"/>
              </w:rPr>
            </w:pPr>
          </w:p>
        </w:tc>
        <w:tc>
          <w:tcPr>
            <w:tcW w:w="2595" w:type="dxa"/>
            <w:gridSpan w:val="2"/>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证件号</w:t>
            </w:r>
          </w:p>
        </w:tc>
        <w:tc>
          <w:tcPr>
            <w:tcW w:w="2576" w:type="dxa"/>
            <w:vAlign w:val="center"/>
          </w:tcPr>
          <w:p>
            <w:pPr>
              <w:adjustRightInd w:val="0"/>
              <w:snapToGrid w:val="0"/>
              <w:jc w:val="center"/>
              <w:rPr>
                <w:rFonts w:hint="eastAsia" w:ascii="宋体" w:hAnsi="宋体" w:eastAsia="宋体" w:cs="宋体"/>
                <w:color w:val="000000"/>
                <w:szCs w:val="21"/>
                <w:highlight w:val="none"/>
              </w:rPr>
            </w:pPr>
          </w:p>
        </w:tc>
      </w:tr>
    </w:tbl>
    <w:p>
      <w:pPr>
        <w:adjustRightInd w:val="0"/>
        <w:snapToGrid w:val="0"/>
        <w:spacing w:line="360" w:lineRule="auto"/>
        <w:ind w:firstLine="658" w:firstLineChars="234"/>
        <w:rPr>
          <w:rFonts w:hint="eastAsia" w:ascii="宋体" w:hAnsi="宋体" w:eastAsia="宋体" w:cs="宋体"/>
          <w:b/>
          <w:bCs/>
          <w:color w:val="000000"/>
          <w:sz w:val="28"/>
          <w:highlight w:val="none"/>
        </w:rPr>
      </w:pPr>
    </w:p>
    <w:p>
      <w:pPr>
        <w:adjustRightInd w:val="0"/>
        <w:snapToGrid w:val="0"/>
        <w:spacing w:line="360" w:lineRule="auto"/>
        <w:ind w:firstLine="705" w:firstLineChars="234"/>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8.项目管理</w:t>
      </w:r>
      <w:r>
        <w:rPr>
          <w:rFonts w:hint="eastAsia" w:ascii="宋体" w:hAnsi="宋体" w:eastAsia="宋体" w:cs="宋体"/>
          <w:b/>
          <w:bCs/>
          <w:sz w:val="30"/>
          <w:szCs w:val="30"/>
          <w:highlight w:val="none"/>
          <w:lang w:val="en-US" w:eastAsia="zh-CN"/>
        </w:rPr>
        <w:t>机构</w:t>
      </w:r>
      <w:r>
        <w:rPr>
          <w:rFonts w:hint="eastAsia" w:ascii="宋体" w:hAnsi="宋体" w:eastAsia="宋体" w:cs="宋体"/>
          <w:b/>
          <w:bCs/>
          <w:sz w:val="30"/>
          <w:szCs w:val="30"/>
          <w:highlight w:val="none"/>
        </w:rPr>
        <w:t>情况辅助证明材料</w:t>
      </w:r>
    </w:p>
    <w:p>
      <w:pPr>
        <w:adjustRightInd w:val="0"/>
        <w:snapToGrid w:val="0"/>
        <w:spacing w:line="360" w:lineRule="auto"/>
        <w:ind w:firstLine="420" w:firstLineChars="200"/>
        <w:rPr>
          <w:highlight w:val="none"/>
        </w:rPr>
      </w:pPr>
      <w:r>
        <w:rPr>
          <w:rFonts w:hint="eastAsia"/>
          <w:highlight w:val="none"/>
        </w:rPr>
        <w:t>…………</w:t>
      </w:r>
    </w:p>
    <w:p>
      <w:pPr>
        <w:adjustRightInd w:val="0"/>
        <w:snapToGrid w:val="0"/>
        <w:spacing w:line="360" w:lineRule="auto"/>
        <w:ind w:firstLine="420" w:firstLineChars="200"/>
        <w:rPr>
          <w:rFonts w:ascii="楷体_GB2312" w:eastAsia="楷体_GB2312"/>
          <w:highlight w:val="none"/>
        </w:rPr>
      </w:pPr>
      <w:r>
        <w:rPr>
          <w:rFonts w:hint="eastAsia" w:ascii="楷体_GB2312" w:eastAsia="楷体_GB2312"/>
          <w:szCs w:val="21"/>
          <w:highlight w:val="none"/>
        </w:rPr>
        <w:t>注：辅助证明材料主要包括管理机构设置、职责分工、有关社保证明等复印证明资料以及投标人认为有必要提供的资料，辅助说明资料格式不做统一规定，由投标人自行设计。</w:t>
      </w:r>
      <w:r>
        <w:rPr>
          <w:rFonts w:ascii="楷体_GB2312" w:eastAsia="楷体_GB2312"/>
          <w:highlight w:val="none"/>
        </w:rPr>
        <w:br w:type="page"/>
      </w:r>
    </w:p>
    <w:p>
      <w:pPr>
        <w:adjustRightInd w:val="0"/>
        <w:snapToGrid w:val="0"/>
        <w:spacing w:line="360" w:lineRule="auto"/>
        <w:jc w:val="center"/>
        <w:rPr>
          <w:rFonts w:hint="eastAsia" w:ascii="黑体" w:hAnsi="黑体" w:eastAsia="黑体" w:cs="黑体"/>
          <w:sz w:val="32"/>
          <w:szCs w:val="32"/>
          <w:highlight w:val="none"/>
        </w:rPr>
      </w:pPr>
      <w:r>
        <w:rPr>
          <w:rFonts w:hint="eastAsia" w:ascii="黑体" w:hAnsi="黑体" w:eastAsia="黑体" w:cs="黑体"/>
          <w:sz w:val="32"/>
          <w:szCs w:val="32"/>
          <w:highlight w:val="none"/>
        </w:rPr>
        <w:t>三、项目拟分包情况</w:t>
      </w:r>
    </w:p>
    <w:p>
      <w:pPr>
        <w:adjustRightInd w:val="0"/>
        <w:snapToGrid w:val="0"/>
        <w:spacing w:line="360" w:lineRule="auto"/>
        <w:jc w:val="center"/>
        <w:rPr>
          <w:b/>
          <w:bCs/>
          <w:sz w:val="28"/>
          <w:highlight w:val="none"/>
        </w:rPr>
      </w:pPr>
      <w:r>
        <w:rPr>
          <w:rFonts w:hint="eastAsia" w:ascii="宋体" w:hAnsi="宋体" w:eastAsia="宋体" w:cs="宋体"/>
          <w:b/>
          <w:bCs/>
          <w:sz w:val="30"/>
          <w:szCs w:val="30"/>
          <w:highlight w:val="none"/>
        </w:rPr>
        <w:t>项目分包情况表</w:t>
      </w:r>
    </w:p>
    <w:tbl>
      <w:tblPr>
        <w:tblStyle w:val="39"/>
        <w:tblW w:w="92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9"/>
        <w:gridCol w:w="2129"/>
        <w:gridCol w:w="2904"/>
        <w:gridCol w:w="1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709" w:type="dxa"/>
            <w:shd w:val="clear" w:color="auto" w:fill="auto"/>
            <w:vAlign w:val="center"/>
          </w:tcPr>
          <w:p>
            <w:pPr>
              <w:adjustRightInd w:val="0"/>
              <w:snapToGrid w:val="0"/>
              <w:jc w:val="center"/>
              <w:rPr>
                <w:rFonts w:ascii="Times New Roman" w:hAnsi="Times New Roman" w:eastAsia="宋体" w:cs="Courier New"/>
                <w:kern w:val="0"/>
                <w:sz w:val="21"/>
                <w:szCs w:val="21"/>
                <w:highlight w:val="none"/>
              </w:rPr>
            </w:pPr>
            <w:r>
              <w:rPr>
                <w:rFonts w:hint="eastAsia" w:ascii="Times New Roman" w:hAnsi="Times New Roman" w:eastAsia="宋体" w:cs="Courier New"/>
                <w:kern w:val="0"/>
                <w:sz w:val="21"/>
                <w:szCs w:val="21"/>
                <w:highlight w:val="none"/>
              </w:rPr>
              <w:t>分包的工程项目</w:t>
            </w:r>
          </w:p>
        </w:tc>
        <w:tc>
          <w:tcPr>
            <w:tcW w:w="2129" w:type="dxa"/>
            <w:shd w:val="clear" w:color="auto" w:fill="auto"/>
            <w:vAlign w:val="center"/>
          </w:tcPr>
          <w:p>
            <w:pPr>
              <w:adjustRightInd w:val="0"/>
              <w:snapToGrid w:val="0"/>
              <w:jc w:val="center"/>
              <w:rPr>
                <w:rFonts w:ascii="Times New Roman" w:hAnsi="Times New Roman" w:eastAsia="宋体" w:cs="Courier New"/>
                <w:kern w:val="0"/>
                <w:sz w:val="21"/>
                <w:szCs w:val="21"/>
                <w:highlight w:val="none"/>
              </w:rPr>
            </w:pPr>
            <w:r>
              <w:rPr>
                <w:rFonts w:hint="eastAsia" w:ascii="Times New Roman" w:hAnsi="Times New Roman" w:eastAsia="宋体" w:cs="Courier New"/>
                <w:kern w:val="0"/>
                <w:sz w:val="21"/>
                <w:szCs w:val="21"/>
                <w:highlight w:val="none"/>
              </w:rPr>
              <w:t>分包人名称</w:t>
            </w:r>
          </w:p>
        </w:tc>
        <w:tc>
          <w:tcPr>
            <w:tcW w:w="2904" w:type="dxa"/>
            <w:shd w:val="clear" w:color="auto" w:fill="auto"/>
            <w:vAlign w:val="center"/>
          </w:tcPr>
          <w:p>
            <w:pPr>
              <w:adjustRightInd w:val="0"/>
              <w:snapToGrid w:val="0"/>
              <w:jc w:val="center"/>
              <w:rPr>
                <w:rFonts w:ascii="Times New Roman" w:hAnsi="Times New Roman" w:eastAsia="宋体" w:cs="Courier New"/>
                <w:kern w:val="0"/>
                <w:sz w:val="21"/>
                <w:szCs w:val="21"/>
                <w:highlight w:val="none"/>
              </w:rPr>
            </w:pPr>
            <w:r>
              <w:rPr>
                <w:rFonts w:hint="eastAsia" w:ascii="Times New Roman" w:hAnsi="Times New Roman" w:eastAsia="宋体" w:cs="Courier New"/>
                <w:kern w:val="0"/>
                <w:sz w:val="21"/>
                <w:szCs w:val="21"/>
                <w:highlight w:val="none"/>
              </w:rPr>
              <w:t>分包项目造价（万元）</w:t>
            </w:r>
          </w:p>
        </w:tc>
        <w:tc>
          <w:tcPr>
            <w:tcW w:w="1548" w:type="dxa"/>
            <w:shd w:val="clear" w:color="auto" w:fill="auto"/>
            <w:vAlign w:val="center"/>
          </w:tcPr>
          <w:p>
            <w:pPr>
              <w:adjustRightInd w:val="0"/>
              <w:snapToGrid w:val="0"/>
              <w:jc w:val="center"/>
              <w:rPr>
                <w:rFonts w:ascii="Times New Roman" w:hAnsi="Times New Roman" w:eastAsia="宋体" w:cs="Courier New"/>
                <w:kern w:val="0"/>
                <w:sz w:val="21"/>
                <w:szCs w:val="21"/>
                <w:highlight w:val="none"/>
              </w:rPr>
            </w:pPr>
            <w:r>
              <w:rPr>
                <w:rFonts w:hint="eastAsia" w:ascii="Times New Roman" w:hAnsi="Times New Roman" w:eastAsia="宋体" w:cs="Courier New"/>
                <w:kern w:val="0"/>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709"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2129"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2904"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1548"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709"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2129"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2904"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1548"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709"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2129"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2904"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1548"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709"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2129"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2904"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1548"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709"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2129"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2904"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1548"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709"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2129"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2904"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1548"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709"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2129"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2904"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1548"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709"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2129"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2904"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1548"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709"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2129"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2904"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1548"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709"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2129"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2904"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1548"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709"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2129"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2904"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1548"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709"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2129"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2904"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1548"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709"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2129"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2904"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1548"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709"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2129"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2904"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1548"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709"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2129"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2904"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1548"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709"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2129"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2904"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1548"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709"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2129"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2904"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1548"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709"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2129"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2904"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c>
          <w:tcPr>
            <w:tcW w:w="1548" w:type="dxa"/>
            <w:shd w:val="clear" w:color="auto" w:fill="auto"/>
            <w:vAlign w:val="center"/>
          </w:tcPr>
          <w:p>
            <w:pPr>
              <w:adjustRightInd w:val="0"/>
              <w:snapToGrid w:val="0"/>
              <w:spacing w:line="360" w:lineRule="auto"/>
              <w:jc w:val="center"/>
              <w:rPr>
                <w:rFonts w:ascii="Times New Roman" w:hAnsi="Times New Roman" w:eastAsia="宋体" w:cs="Courier New"/>
                <w:b/>
                <w:bCs/>
                <w:kern w:val="0"/>
                <w:sz w:val="20"/>
                <w:szCs w:val="20"/>
                <w:highlight w:val="none"/>
              </w:rPr>
            </w:pPr>
          </w:p>
        </w:tc>
      </w:tr>
    </w:tbl>
    <w:p>
      <w:pPr>
        <w:spacing w:line="20" w:lineRule="exact"/>
        <w:rPr>
          <w:highlight w:val="none"/>
        </w:rPr>
      </w:pPr>
      <w:r>
        <w:rPr>
          <w:highlight w:val="none"/>
        </w:rPr>
        <w:br w:type="page"/>
      </w:r>
    </w:p>
    <w:p>
      <w:pPr>
        <w:adjustRightInd w:val="0"/>
        <w:snapToGrid w:val="0"/>
        <w:spacing w:line="360" w:lineRule="auto"/>
        <w:jc w:val="center"/>
        <w:outlineLvl w:val="0"/>
        <w:rPr>
          <w:rFonts w:hint="eastAsia" w:ascii="黑体" w:hAnsi="黑体" w:eastAsia="黑体" w:cs="黑体"/>
          <w:b w:val="0"/>
          <w:bCs/>
          <w:sz w:val="32"/>
          <w:szCs w:val="32"/>
          <w:highlight w:val="none"/>
        </w:rPr>
      </w:pPr>
      <w:bookmarkStart w:id="1874" w:name="_Toc13871"/>
      <w:r>
        <w:rPr>
          <w:rFonts w:hint="eastAsia" w:ascii="黑体" w:hAnsi="黑体" w:eastAsia="黑体" w:cs="黑体"/>
          <w:b w:val="0"/>
          <w:bCs/>
          <w:sz w:val="32"/>
          <w:szCs w:val="32"/>
          <w:highlight w:val="none"/>
        </w:rPr>
        <w:t>第十章  担保书格式</w:t>
      </w:r>
      <w:bookmarkEnd w:id="1874"/>
    </w:p>
    <w:p>
      <w:pPr>
        <w:adjustRightInd w:val="0"/>
        <w:snapToGrid w:val="0"/>
        <w:spacing w:line="360" w:lineRule="auto"/>
        <w:jc w:val="center"/>
        <w:outlineLvl w:val="0"/>
        <w:rPr>
          <w:rFonts w:hint="eastAsia" w:ascii="黑体" w:hAnsi="黑体" w:eastAsia="黑体" w:cs="黑体"/>
          <w:b w:val="0"/>
          <w:bCs/>
          <w:sz w:val="32"/>
          <w:szCs w:val="32"/>
          <w:highlight w:val="none"/>
        </w:rPr>
      </w:pPr>
    </w:p>
    <w:p>
      <w:pPr>
        <w:adjustRightInd w:val="0"/>
        <w:snapToGrid w:val="0"/>
        <w:spacing w:line="360" w:lineRule="auto"/>
        <w:jc w:val="center"/>
        <w:rPr>
          <w:rFonts w:hint="eastAsia" w:ascii="宋体" w:hAnsi="宋体" w:eastAsia="宋体" w:cs="宋体"/>
          <w:sz w:val="44"/>
          <w:highlight w:val="none"/>
        </w:rPr>
      </w:pPr>
      <w:r>
        <w:rPr>
          <w:rFonts w:hint="eastAsia" w:ascii="宋体" w:hAnsi="宋体" w:eastAsia="宋体" w:cs="宋体"/>
          <w:sz w:val="44"/>
          <w:highlight w:val="none"/>
        </w:rPr>
        <w:t>不可撤销支付保函</w:t>
      </w:r>
    </w:p>
    <w:p>
      <w:pPr>
        <w:adjustRightInd w:val="0"/>
        <w:snapToGrid w:val="0"/>
        <w:spacing w:line="360" w:lineRule="auto"/>
        <w:ind w:firstLine="5460" w:firstLineChars="2600"/>
        <w:rPr>
          <w:rFonts w:hint="eastAsia" w:ascii="宋体" w:hAnsi="宋体" w:eastAsia="宋体" w:cs="宋体"/>
          <w:szCs w:val="21"/>
          <w:highlight w:val="none"/>
        </w:rPr>
      </w:pPr>
      <w:r>
        <w:rPr>
          <w:rFonts w:hint="eastAsia" w:ascii="宋体" w:hAnsi="宋体" w:eastAsia="宋体" w:cs="宋体"/>
          <w:szCs w:val="21"/>
          <w:highlight w:val="none"/>
        </w:rPr>
        <w:t>保函编号：</w:t>
      </w:r>
      <w:r>
        <w:rPr>
          <w:rFonts w:hint="eastAsia" w:ascii="宋体" w:hAnsi="宋体" w:eastAsia="宋体" w:cs="宋体"/>
          <w:szCs w:val="21"/>
          <w:highlight w:val="none"/>
          <w:u w:val="single"/>
        </w:rPr>
        <w:t xml:space="preserve">      </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（下称受益人）：</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鉴于</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（下称被保证人）已与贵方签订了工程编号为</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的</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工程的施工合同（下称合同），工期自</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至</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。我方接受被保证人的委托，在此向受益人提供不可撤销的工程款支付保证：</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一、本保证担保的最高担保金额为</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（币种）</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元（小写）</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（大写）。</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二、本保证担保的保证期间自</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至</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三、在本保证担保的保证期间内，我方将在收到受益人经法定代表人或其授权委托代理人签字并加盖公章的书面索赔通知后</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个工作日内，不争辩、不挑剔、不可撤销地向受益人支付索赔款，直至本保证担保的最高担保金额。</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四、索赔通知应当说明索赔理由，并必须在本保证担保的保证期间内送达我方。</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五、本保证担保项下的权利不得转让。</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六、我方提供本保证担保后，受益人与被保证人对合同进行修订的，应当将修订后的合同原件送我方备案。</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七、本保证担保的保证期间届满，或我方向受益人支付的索赔款已达本保证担保的最高担保金额，我方的保证责任免除。</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八、本保证担保适用中华人民共和国法律。</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九、本保证担保以中文文本为准，涂改无效。</w:t>
      </w:r>
    </w:p>
    <w:p>
      <w:pPr>
        <w:adjustRightInd w:val="0"/>
        <w:snapToGrid w:val="0"/>
        <w:spacing w:line="360" w:lineRule="auto"/>
        <w:ind w:firstLine="420" w:firstLineChars="200"/>
        <w:rPr>
          <w:rFonts w:hint="eastAsia" w:ascii="宋体" w:hAnsi="宋体" w:eastAsia="宋体" w:cs="宋体"/>
          <w:szCs w:val="21"/>
          <w:highlight w:val="none"/>
        </w:rPr>
      </w:pP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保证人：</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（盖章）</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法定代表人或其授权委托代理人（签字或盖章）：</w:t>
      </w:r>
      <w:r>
        <w:rPr>
          <w:rFonts w:hint="eastAsia" w:ascii="宋体" w:hAnsi="宋体" w:eastAsia="宋体" w:cs="宋体"/>
          <w:szCs w:val="21"/>
          <w:highlight w:val="none"/>
          <w:u w:val="single"/>
        </w:rPr>
        <w:t xml:space="preserve">      </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单位地址：</w:t>
      </w:r>
      <w:r>
        <w:rPr>
          <w:rFonts w:hint="eastAsia" w:ascii="宋体" w:hAnsi="宋体" w:eastAsia="宋体" w:cs="宋体"/>
          <w:szCs w:val="21"/>
          <w:highlight w:val="none"/>
          <w:u w:val="single"/>
        </w:rPr>
        <w:t xml:space="preserve">      </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邮政编码：</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电话：</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传真：</w:t>
      </w:r>
      <w:r>
        <w:rPr>
          <w:rFonts w:hint="eastAsia" w:ascii="宋体" w:hAnsi="宋体" w:eastAsia="宋体" w:cs="宋体"/>
          <w:szCs w:val="21"/>
          <w:highlight w:val="none"/>
          <w:u w:val="single"/>
        </w:rPr>
        <w:t xml:space="preserve">      </w:t>
      </w:r>
    </w:p>
    <w:p>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日期：</w:t>
      </w:r>
      <w:r>
        <w:rPr>
          <w:rFonts w:hint="eastAsia" w:ascii="宋体" w:hAnsi="宋体" w:eastAsia="宋体" w:cs="宋体"/>
          <w:szCs w:val="21"/>
          <w:highlight w:val="none"/>
          <w:u w:val="single"/>
        </w:rPr>
        <w:t xml:space="preserve">      </w:t>
      </w:r>
    </w:p>
    <w:p>
      <w:pPr>
        <w:adjustRightInd w:val="0"/>
        <w:snapToGrid w:val="0"/>
        <w:spacing w:line="360" w:lineRule="auto"/>
        <w:ind w:firstLine="420" w:firstLineChars="200"/>
        <w:rPr>
          <w:rFonts w:hint="eastAsia" w:ascii="宋体" w:hAnsi="宋体" w:eastAsia="宋体" w:cs="宋体"/>
          <w:highlight w:val="none"/>
        </w:rPr>
      </w:pPr>
      <w:r>
        <w:rPr>
          <w:rFonts w:hint="eastAsia" w:ascii="宋体" w:hAnsi="宋体" w:eastAsia="宋体" w:cs="宋体"/>
          <w:szCs w:val="21"/>
          <w:highlight w:val="none"/>
        </w:rPr>
        <w:t>（本保函失效后，请将原件退回我方注销）</w:t>
      </w:r>
      <w:r>
        <w:rPr>
          <w:rFonts w:hint="eastAsia" w:ascii="宋体" w:hAnsi="宋体" w:eastAsia="宋体" w:cs="宋体"/>
          <w:highlight w:val="none"/>
        </w:rPr>
        <w:br w:type="page"/>
      </w:r>
    </w:p>
    <w:p>
      <w:pPr>
        <w:adjustRightInd w:val="0"/>
        <w:snapToGrid w:val="0"/>
        <w:spacing w:line="360" w:lineRule="auto"/>
        <w:jc w:val="center"/>
        <w:rPr>
          <w:rFonts w:hint="eastAsia" w:ascii="宋体" w:hAnsi="宋体" w:eastAsia="宋体" w:cs="宋体"/>
          <w:sz w:val="44"/>
          <w:highlight w:val="none"/>
        </w:rPr>
      </w:pPr>
      <w:r>
        <w:rPr>
          <w:rFonts w:hint="eastAsia" w:ascii="宋体" w:hAnsi="宋体" w:eastAsia="宋体" w:cs="宋体"/>
          <w:sz w:val="44"/>
          <w:highlight w:val="none"/>
        </w:rPr>
        <w:t>不可撤销履约保函</w:t>
      </w:r>
    </w:p>
    <w:p>
      <w:pPr>
        <w:adjustRightInd w:val="0"/>
        <w:snapToGrid w:val="0"/>
        <w:spacing w:line="360" w:lineRule="auto"/>
        <w:ind w:firstLine="5460" w:firstLineChars="2600"/>
        <w:rPr>
          <w:rFonts w:hint="eastAsia" w:ascii="宋体" w:hAnsi="宋体" w:eastAsia="宋体" w:cs="宋体"/>
          <w:szCs w:val="21"/>
          <w:highlight w:val="none"/>
        </w:rPr>
      </w:pPr>
      <w:r>
        <w:rPr>
          <w:rFonts w:hint="eastAsia" w:ascii="宋体" w:hAnsi="宋体" w:eastAsia="宋体" w:cs="宋体"/>
          <w:szCs w:val="21"/>
          <w:highlight w:val="none"/>
        </w:rPr>
        <w:t>保函编号：</w:t>
      </w:r>
      <w:r>
        <w:rPr>
          <w:rFonts w:hint="eastAsia" w:ascii="宋体" w:hAnsi="宋体" w:eastAsia="宋体" w:cs="宋体"/>
          <w:bCs/>
          <w:szCs w:val="21"/>
          <w:highlight w:val="none"/>
          <w:u w:val="single"/>
        </w:rPr>
        <w:t xml:space="preserve">      </w:t>
      </w:r>
    </w:p>
    <w:p>
      <w:pPr>
        <w:adjustRightInd w:val="0"/>
        <w:snapToGrid w:val="0"/>
        <w:spacing w:line="440" w:lineRule="exact"/>
        <w:rPr>
          <w:rFonts w:hint="eastAsia" w:ascii="宋体" w:hAnsi="宋体" w:eastAsia="宋体" w:cs="宋体"/>
          <w:szCs w:val="21"/>
          <w:highlight w:val="none"/>
        </w:rPr>
      </w:pPr>
      <w:r>
        <w:rPr>
          <w:rFonts w:hint="eastAsia" w:ascii="宋体" w:hAnsi="宋体" w:eastAsia="宋体" w:cs="宋体"/>
          <w:szCs w:val="21"/>
          <w:highlight w:val="none"/>
        </w:rPr>
        <w:t>致</w:t>
      </w:r>
      <w:r>
        <w:rPr>
          <w:rFonts w:hint="eastAsia" w:ascii="宋体" w:hAnsi="宋体" w:eastAsia="宋体" w:cs="宋体"/>
          <w:bCs/>
          <w:szCs w:val="21"/>
          <w:highlight w:val="none"/>
          <w:u w:val="single"/>
        </w:rPr>
        <w:t xml:space="preserve">      </w:t>
      </w:r>
      <w:r>
        <w:rPr>
          <w:rFonts w:hint="eastAsia" w:ascii="宋体" w:hAnsi="宋体" w:eastAsia="宋体" w:cs="宋体"/>
          <w:szCs w:val="21"/>
          <w:highlight w:val="none"/>
        </w:rPr>
        <w:t>（下称受益人）：</w:t>
      </w:r>
    </w:p>
    <w:p>
      <w:pPr>
        <w:adjustRightInd w:val="0"/>
        <w:snapToGrid w:val="0"/>
        <w:spacing w:line="440" w:lineRule="exact"/>
        <w:ind w:firstLine="482"/>
        <w:rPr>
          <w:rFonts w:hint="eastAsia" w:ascii="宋体" w:hAnsi="宋体" w:eastAsia="宋体" w:cs="宋体"/>
          <w:szCs w:val="21"/>
          <w:highlight w:val="none"/>
        </w:rPr>
      </w:pPr>
      <w:r>
        <w:rPr>
          <w:rFonts w:hint="eastAsia" w:ascii="宋体" w:hAnsi="宋体" w:eastAsia="宋体" w:cs="宋体"/>
          <w:szCs w:val="21"/>
          <w:highlight w:val="none"/>
        </w:rPr>
        <w:t>鉴于</w:t>
      </w:r>
      <w:r>
        <w:rPr>
          <w:rFonts w:hint="eastAsia" w:ascii="宋体" w:hAnsi="宋体" w:eastAsia="宋体" w:cs="宋体"/>
          <w:bCs/>
          <w:szCs w:val="21"/>
          <w:highlight w:val="none"/>
          <w:u w:val="single"/>
        </w:rPr>
        <w:t xml:space="preserve">      </w:t>
      </w:r>
      <w:r>
        <w:rPr>
          <w:rFonts w:hint="eastAsia" w:ascii="宋体" w:hAnsi="宋体" w:eastAsia="宋体" w:cs="宋体"/>
          <w:szCs w:val="21"/>
          <w:highlight w:val="none"/>
        </w:rPr>
        <w:t>（下称被保证人）已与贵方签订了工程编号为</w:t>
      </w:r>
      <w:r>
        <w:rPr>
          <w:rFonts w:hint="eastAsia" w:ascii="宋体" w:hAnsi="宋体" w:eastAsia="宋体" w:cs="宋体"/>
          <w:bCs/>
          <w:szCs w:val="21"/>
          <w:highlight w:val="none"/>
          <w:u w:val="single"/>
        </w:rPr>
        <w:t xml:space="preserve">      </w:t>
      </w:r>
      <w:r>
        <w:rPr>
          <w:rFonts w:hint="eastAsia" w:ascii="宋体" w:hAnsi="宋体" w:eastAsia="宋体" w:cs="宋体"/>
          <w:szCs w:val="21"/>
          <w:highlight w:val="none"/>
        </w:rPr>
        <w:t>的</w:t>
      </w:r>
    </w:p>
    <w:p>
      <w:pPr>
        <w:adjustRightInd w:val="0"/>
        <w:snapToGrid w:val="0"/>
        <w:spacing w:line="440" w:lineRule="exact"/>
        <w:ind w:firstLine="482"/>
        <w:rPr>
          <w:rFonts w:hint="eastAsia" w:ascii="宋体" w:hAnsi="宋体" w:eastAsia="宋体" w:cs="宋体"/>
          <w:szCs w:val="21"/>
          <w:highlight w:val="none"/>
        </w:rPr>
      </w:pPr>
      <w:r>
        <w:rPr>
          <w:rFonts w:hint="eastAsia" w:ascii="宋体" w:hAnsi="宋体" w:eastAsia="宋体" w:cs="宋体"/>
          <w:bCs/>
          <w:szCs w:val="21"/>
          <w:highlight w:val="none"/>
          <w:u w:val="single"/>
        </w:rPr>
        <w:t xml:space="preserve">      </w:t>
      </w:r>
      <w:r>
        <w:rPr>
          <w:rFonts w:hint="eastAsia" w:ascii="宋体" w:hAnsi="宋体" w:eastAsia="宋体" w:cs="宋体"/>
          <w:szCs w:val="21"/>
          <w:highlight w:val="none"/>
        </w:rPr>
        <w:t>工程的施工合同（下称合同），工期自</w:t>
      </w:r>
      <w:r>
        <w:rPr>
          <w:rFonts w:hint="eastAsia" w:ascii="宋体" w:hAnsi="宋体" w:eastAsia="宋体" w:cs="宋体"/>
          <w:bCs/>
          <w:szCs w:val="21"/>
          <w:highlight w:val="none"/>
          <w:u w:val="single"/>
        </w:rPr>
        <w:t xml:space="preserve">      </w:t>
      </w:r>
      <w:r>
        <w:rPr>
          <w:rFonts w:hint="eastAsia" w:ascii="宋体" w:hAnsi="宋体" w:eastAsia="宋体" w:cs="宋体"/>
          <w:szCs w:val="21"/>
          <w:highlight w:val="none"/>
        </w:rPr>
        <w:t>至</w:t>
      </w:r>
      <w:r>
        <w:rPr>
          <w:rFonts w:hint="eastAsia" w:ascii="宋体" w:hAnsi="宋体" w:eastAsia="宋体" w:cs="宋体"/>
          <w:bCs/>
          <w:szCs w:val="21"/>
          <w:highlight w:val="none"/>
          <w:u w:val="single"/>
        </w:rPr>
        <w:t xml:space="preserve">      </w:t>
      </w:r>
      <w:r>
        <w:rPr>
          <w:rFonts w:hint="eastAsia" w:ascii="宋体" w:hAnsi="宋体" w:eastAsia="宋体" w:cs="宋体"/>
          <w:szCs w:val="21"/>
          <w:highlight w:val="none"/>
        </w:rPr>
        <w:t>。我方接受被保证人的委托，在此向受益人提供不可撤销的履约保证：</w:t>
      </w:r>
    </w:p>
    <w:p>
      <w:pPr>
        <w:adjustRightInd w:val="0"/>
        <w:snapToGrid w:val="0"/>
        <w:spacing w:line="440" w:lineRule="exact"/>
        <w:ind w:firstLine="482"/>
        <w:rPr>
          <w:rFonts w:hint="eastAsia" w:ascii="宋体" w:hAnsi="宋体" w:eastAsia="宋体" w:cs="宋体"/>
          <w:szCs w:val="21"/>
          <w:highlight w:val="none"/>
        </w:rPr>
      </w:pPr>
      <w:r>
        <w:rPr>
          <w:rFonts w:hint="eastAsia" w:ascii="宋体" w:hAnsi="宋体" w:eastAsia="宋体" w:cs="宋体"/>
          <w:szCs w:val="21"/>
          <w:highlight w:val="none"/>
        </w:rPr>
        <w:t>一、本保证担保的最高担保金额为</w:t>
      </w:r>
      <w:r>
        <w:rPr>
          <w:rFonts w:hint="eastAsia" w:ascii="宋体" w:hAnsi="宋体" w:eastAsia="宋体" w:cs="宋体"/>
          <w:bCs/>
          <w:szCs w:val="21"/>
          <w:highlight w:val="none"/>
          <w:u w:val="single"/>
        </w:rPr>
        <w:t xml:space="preserve">      </w:t>
      </w:r>
      <w:r>
        <w:rPr>
          <w:rFonts w:hint="eastAsia" w:ascii="宋体" w:hAnsi="宋体" w:eastAsia="宋体" w:cs="宋体"/>
          <w:szCs w:val="21"/>
          <w:highlight w:val="none"/>
        </w:rPr>
        <w:t>（币种）</w:t>
      </w:r>
      <w:r>
        <w:rPr>
          <w:rFonts w:hint="eastAsia" w:ascii="宋体" w:hAnsi="宋体" w:eastAsia="宋体" w:cs="宋体"/>
          <w:bCs/>
          <w:szCs w:val="21"/>
          <w:highlight w:val="none"/>
          <w:u w:val="single"/>
        </w:rPr>
        <w:t xml:space="preserve">      </w:t>
      </w:r>
      <w:r>
        <w:rPr>
          <w:rFonts w:hint="eastAsia" w:ascii="宋体" w:hAnsi="宋体" w:eastAsia="宋体" w:cs="宋体"/>
          <w:szCs w:val="21"/>
          <w:highlight w:val="none"/>
        </w:rPr>
        <w:t>元（小写）</w:t>
      </w:r>
    </w:p>
    <w:p>
      <w:pPr>
        <w:adjustRightInd w:val="0"/>
        <w:snapToGrid w:val="0"/>
        <w:spacing w:line="440" w:lineRule="exact"/>
        <w:ind w:firstLine="482"/>
        <w:rPr>
          <w:rFonts w:hint="eastAsia" w:ascii="宋体" w:hAnsi="宋体" w:eastAsia="宋体" w:cs="宋体"/>
          <w:szCs w:val="21"/>
          <w:highlight w:val="none"/>
        </w:rPr>
      </w:pPr>
      <w:r>
        <w:rPr>
          <w:rFonts w:hint="eastAsia" w:ascii="宋体" w:hAnsi="宋体" w:eastAsia="宋体" w:cs="宋体"/>
          <w:bCs/>
          <w:szCs w:val="21"/>
          <w:highlight w:val="none"/>
          <w:u w:val="single"/>
        </w:rPr>
        <w:t xml:space="preserve">      </w:t>
      </w:r>
      <w:r>
        <w:rPr>
          <w:rFonts w:hint="eastAsia" w:ascii="宋体" w:hAnsi="宋体" w:eastAsia="宋体" w:cs="宋体"/>
          <w:szCs w:val="21"/>
          <w:highlight w:val="none"/>
        </w:rPr>
        <w:t>（大写）。</w:t>
      </w:r>
    </w:p>
    <w:p>
      <w:pPr>
        <w:adjustRightInd w:val="0"/>
        <w:snapToGrid w:val="0"/>
        <w:spacing w:line="440" w:lineRule="exact"/>
        <w:ind w:firstLine="482"/>
        <w:rPr>
          <w:rFonts w:hint="eastAsia" w:ascii="宋体" w:hAnsi="宋体" w:eastAsia="宋体" w:cs="宋体"/>
          <w:szCs w:val="21"/>
          <w:highlight w:val="none"/>
        </w:rPr>
      </w:pPr>
      <w:r>
        <w:rPr>
          <w:rFonts w:hint="eastAsia" w:ascii="宋体" w:hAnsi="宋体" w:eastAsia="宋体" w:cs="宋体"/>
          <w:szCs w:val="21"/>
          <w:highlight w:val="none"/>
        </w:rPr>
        <w:t>二、本保证担保的保证期间自</w:t>
      </w:r>
      <w:r>
        <w:rPr>
          <w:rFonts w:hint="eastAsia" w:ascii="宋体" w:hAnsi="宋体" w:eastAsia="宋体" w:cs="宋体"/>
          <w:bCs/>
          <w:szCs w:val="21"/>
          <w:highlight w:val="none"/>
          <w:u w:val="single"/>
        </w:rPr>
        <w:t xml:space="preserve">      </w:t>
      </w:r>
      <w:r>
        <w:rPr>
          <w:rFonts w:hint="eastAsia" w:ascii="宋体" w:hAnsi="宋体" w:eastAsia="宋体" w:cs="宋体"/>
          <w:szCs w:val="21"/>
          <w:highlight w:val="none"/>
        </w:rPr>
        <w:t>至</w:t>
      </w:r>
      <w:r>
        <w:rPr>
          <w:rFonts w:hint="eastAsia" w:ascii="宋体" w:hAnsi="宋体" w:eastAsia="宋体" w:cs="宋体"/>
          <w:bCs/>
          <w:szCs w:val="21"/>
          <w:highlight w:val="none"/>
          <w:u w:val="single"/>
        </w:rPr>
        <w:t xml:space="preserve">      </w:t>
      </w:r>
      <w:r>
        <w:rPr>
          <w:rFonts w:hint="eastAsia" w:ascii="宋体" w:hAnsi="宋体" w:eastAsia="宋体" w:cs="宋体"/>
          <w:szCs w:val="21"/>
          <w:highlight w:val="none"/>
        </w:rPr>
        <w:t>。</w:t>
      </w:r>
    </w:p>
    <w:p>
      <w:pPr>
        <w:adjustRightInd w:val="0"/>
        <w:snapToGrid w:val="0"/>
        <w:spacing w:line="440" w:lineRule="exact"/>
        <w:ind w:firstLine="482"/>
        <w:rPr>
          <w:rFonts w:hint="eastAsia" w:ascii="宋体" w:hAnsi="宋体" w:eastAsia="宋体" w:cs="宋体"/>
          <w:szCs w:val="21"/>
          <w:highlight w:val="none"/>
        </w:rPr>
      </w:pPr>
      <w:r>
        <w:rPr>
          <w:rFonts w:hint="eastAsia" w:ascii="宋体" w:hAnsi="宋体" w:eastAsia="宋体" w:cs="宋体"/>
          <w:szCs w:val="21"/>
          <w:highlight w:val="none"/>
        </w:rPr>
        <w:t>三、在本保证担保的保证期间内，我方将在收到受益人、该工程监理公司（全称：</w:t>
      </w:r>
      <w:r>
        <w:rPr>
          <w:rFonts w:hint="eastAsia" w:ascii="宋体" w:hAnsi="宋体" w:eastAsia="宋体" w:cs="宋体"/>
          <w:bCs/>
          <w:szCs w:val="21"/>
          <w:highlight w:val="none"/>
          <w:u w:val="single"/>
        </w:rPr>
        <w:t xml:space="preserve">      </w:t>
      </w:r>
      <w:r>
        <w:rPr>
          <w:rFonts w:hint="eastAsia" w:ascii="宋体" w:hAnsi="宋体" w:eastAsia="宋体" w:cs="宋体"/>
          <w:szCs w:val="21"/>
          <w:highlight w:val="none"/>
        </w:rPr>
        <w:t>）两方法定代表人或其授权委托代理人签字确认并加盖公章的书面索赔通知后</w:t>
      </w:r>
      <w:r>
        <w:rPr>
          <w:rFonts w:hint="eastAsia" w:ascii="宋体" w:hAnsi="宋体" w:eastAsia="宋体" w:cs="宋体"/>
          <w:bCs/>
          <w:szCs w:val="21"/>
          <w:highlight w:val="none"/>
          <w:u w:val="single"/>
        </w:rPr>
        <w:t xml:space="preserve">      </w:t>
      </w:r>
      <w:r>
        <w:rPr>
          <w:rFonts w:hint="eastAsia" w:ascii="宋体" w:hAnsi="宋体" w:eastAsia="宋体" w:cs="宋体"/>
          <w:szCs w:val="21"/>
          <w:highlight w:val="none"/>
        </w:rPr>
        <w:t>个工作日内，不争辩、不挑剔、不可撤销地向受益人支付索赔款，直至本保证担保的最高担保金额。</w:t>
      </w:r>
    </w:p>
    <w:p>
      <w:pPr>
        <w:adjustRightInd w:val="0"/>
        <w:snapToGrid w:val="0"/>
        <w:spacing w:line="440" w:lineRule="exact"/>
        <w:ind w:firstLine="482"/>
        <w:rPr>
          <w:rFonts w:hint="eastAsia" w:ascii="宋体" w:hAnsi="宋体" w:eastAsia="宋体" w:cs="宋体"/>
          <w:szCs w:val="21"/>
          <w:highlight w:val="none"/>
        </w:rPr>
      </w:pPr>
      <w:r>
        <w:rPr>
          <w:rFonts w:hint="eastAsia" w:ascii="宋体" w:hAnsi="宋体" w:eastAsia="宋体" w:cs="宋体"/>
          <w:szCs w:val="21"/>
          <w:highlight w:val="none"/>
        </w:rPr>
        <w:t>四、索赔通知应当说明索赔理由、索赔款额的计算方法，并必须在本保证担保的保证期间内送达我方。</w:t>
      </w:r>
    </w:p>
    <w:p>
      <w:pPr>
        <w:adjustRightInd w:val="0"/>
        <w:snapToGrid w:val="0"/>
        <w:spacing w:line="440" w:lineRule="exact"/>
        <w:ind w:firstLine="482"/>
        <w:rPr>
          <w:rFonts w:hint="eastAsia" w:ascii="宋体" w:hAnsi="宋体" w:eastAsia="宋体" w:cs="宋体"/>
          <w:szCs w:val="21"/>
          <w:highlight w:val="none"/>
        </w:rPr>
      </w:pPr>
      <w:r>
        <w:rPr>
          <w:rFonts w:hint="eastAsia" w:ascii="宋体" w:hAnsi="宋体" w:eastAsia="宋体" w:cs="宋体"/>
          <w:szCs w:val="21"/>
          <w:highlight w:val="none"/>
        </w:rPr>
        <w:t>五、本保证担保项下的权利不得转让。</w:t>
      </w:r>
    </w:p>
    <w:p>
      <w:pPr>
        <w:adjustRightInd w:val="0"/>
        <w:snapToGrid w:val="0"/>
        <w:spacing w:line="440" w:lineRule="exact"/>
        <w:ind w:firstLine="482"/>
        <w:rPr>
          <w:rFonts w:hint="eastAsia" w:ascii="宋体" w:hAnsi="宋体" w:eastAsia="宋体" w:cs="宋体"/>
          <w:szCs w:val="21"/>
          <w:highlight w:val="none"/>
        </w:rPr>
      </w:pPr>
      <w:r>
        <w:rPr>
          <w:rFonts w:hint="eastAsia" w:ascii="宋体" w:hAnsi="宋体" w:eastAsia="宋体" w:cs="宋体"/>
          <w:szCs w:val="21"/>
          <w:highlight w:val="none"/>
        </w:rPr>
        <w:t>六、我方提供本保证担保后，受益人与被保证人对合同进行修订的，应当将修订后的合同原件送我方备案。</w:t>
      </w:r>
    </w:p>
    <w:p>
      <w:pPr>
        <w:adjustRightInd w:val="0"/>
        <w:snapToGrid w:val="0"/>
        <w:spacing w:line="440" w:lineRule="exact"/>
        <w:ind w:firstLine="482"/>
        <w:rPr>
          <w:rFonts w:hint="eastAsia" w:ascii="宋体" w:hAnsi="宋体" w:eastAsia="宋体" w:cs="宋体"/>
          <w:szCs w:val="21"/>
          <w:highlight w:val="none"/>
        </w:rPr>
      </w:pPr>
      <w:r>
        <w:rPr>
          <w:rFonts w:hint="eastAsia" w:ascii="宋体" w:hAnsi="宋体" w:eastAsia="宋体" w:cs="宋体"/>
          <w:szCs w:val="21"/>
          <w:highlight w:val="none"/>
        </w:rPr>
        <w:t>七、本保证担保的保证期间届满，或我方向受益人支付的索赔款已达本保证担保的最高担保金额，我方的保证责任免除。</w:t>
      </w:r>
    </w:p>
    <w:p>
      <w:pPr>
        <w:adjustRightInd w:val="0"/>
        <w:snapToGrid w:val="0"/>
        <w:spacing w:line="440" w:lineRule="exact"/>
        <w:ind w:firstLine="482"/>
        <w:rPr>
          <w:rFonts w:hint="eastAsia" w:ascii="宋体" w:hAnsi="宋体" w:eastAsia="宋体" w:cs="宋体"/>
          <w:szCs w:val="21"/>
          <w:highlight w:val="none"/>
        </w:rPr>
      </w:pPr>
      <w:r>
        <w:rPr>
          <w:rFonts w:hint="eastAsia" w:ascii="宋体" w:hAnsi="宋体" w:eastAsia="宋体" w:cs="宋体"/>
          <w:szCs w:val="21"/>
          <w:highlight w:val="none"/>
        </w:rPr>
        <w:t>八、本保证担保适用中华人民共和国法律。</w:t>
      </w:r>
    </w:p>
    <w:p>
      <w:pPr>
        <w:adjustRightInd w:val="0"/>
        <w:snapToGrid w:val="0"/>
        <w:spacing w:line="440" w:lineRule="exact"/>
        <w:ind w:firstLine="420" w:firstLineChars="200"/>
        <w:rPr>
          <w:rFonts w:hint="eastAsia" w:ascii="宋体" w:hAnsi="宋体" w:eastAsia="宋体" w:cs="宋体"/>
          <w:b/>
          <w:bCs/>
          <w:szCs w:val="21"/>
          <w:highlight w:val="none"/>
        </w:rPr>
      </w:pPr>
      <w:r>
        <w:rPr>
          <w:rFonts w:hint="eastAsia" w:ascii="宋体" w:hAnsi="宋体" w:eastAsia="宋体" w:cs="宋体"/>
          <w:szCs w:val="21"/>
          <w:highlight w:val="none"/>
        </w:rPr>
        <w:t>九、本保证担保以中文文本为准，涂改无效。</w:t>
      </w:r>
    </w:p>
    <w:p>
      <w:pPr>
        <w:adjustRightInd w:val="0"/>
        <w:snapToGrid w:val="0"/>
        <w:spacing w:line="440" w:lineRule="exact"/>
        <w:rPr>
          <w:rFonts w:hint="eastAsia" w:ascii="宋体" w:hAnsi="宋体" w:eastAsia="宋体" w:cs="宋体"/>
          <w:szCs w:val="21"/>
          <w:highlight w:val="none"/>
        </w:rPr>
      </w:pPr>
    </w:p>
    <w:p>
      <w:pPr>
        <w:adjustRightInd w:val="0"/>
        <w:snapToGrid w:val="0"/>
        <w:spacing w:line="44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保证人：</w:t>
      </w:r>
      <w:r>
        <w:rPr>
          <w:rFonts w:hint="eastAsia" w:ascii="宋体" w:hAnsi="宋体" w:eastAsia="宋体" w:cs="宋体"/>
          <w:bCs/>
          <w:szCs w:val="21"/>
          <w:highlight w:val="none"/>
          <w:u w:val="single"/>
        </w:rPr>
        <w:t xml:space="preserve">      </w:t>
      </w:r>
      <w:r>
        <w:rPr>
          <w:rFonts w:hint="eastAsia" w:ascii="宋体" w:hAnsi="宋体" w:eastAsia="宋体" w:cs="宋体"/>
          <w:szCs w:val="21"/>
          <w:highlight w:val="none"/>
        </w:rPr>
        <w:t>（盖章）</w:t>
      </w:r>
    </w:p>
    <w:p>
      <w:pPr>
        <w:adjustRightInd w:val="0"/>
        <w:snapToGrid w:val="0"/>
        <w:spacing w:line="44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法定代表人或其授权委托代理人（签字或盖章）：</w:t>
      </w:r>
      <w:r>
        <w:rPr>
          <w:rFonts w:hint="eastAsia" w:ascii="宋体" w:hAnsi="宋体" w:eastAsia="宋体" w:cs="宋体"/>
          <w:bCs/>
          <w:szCs w:val="21"/>
          <w:highlight w:val="none"/>
          <w:u w:val="single"/>
        </w:rPr>
        <w:t xml:space="preserve">      </w:t>
      </w:r>
    </w:p>
    <w:p>
      <w:pPr>
        <w:adjustRightInd w:val="0"/>
        <w:snapToGrid w:val="0"/>
        <w:spacing w:line="44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单位地址：</w:t>
      </w:r>
      <w:r>
        <w:rPr>
          <w:rFonts w:hint="eastAsia" w:ascii="宋体" w:hAnsi="宋体" w:eastAsia="宋体" w:cs="宋体"/>
          <w:bCs/>
          <w:szCs w:val="21"/>
          <w:highlight w:val="none"/>
          <w:u w:val="single"/>
        </w:rPr>
        <w:t xml:space="preserve">      </w:t>
      </w:r>
    </w:p>
    <w:p>
      <w:pPr>
        <w:adjustRightInd w:val="0"/>
        <w:snapToGrid w:val="0"/>
        <w:spacing w:line="440" w:lineRule="exact"/>
        <w:ind w:firstLine="482"/>
        <w:rPr>
          <w:rFonts w:hint="eastAsia" w:ascii="宋体" w:hAnsi="宋体" w:eastAsia="宋体" w:cs="宋体"/>
          <w:szCs w:val="21"/>
          <w:highlight w:val="none"/>
        </w:rPr>
      </w:pPr>
      <w:r>
        <w:rPr>
          <w:rFonts w:hint="eastAsia" w:ascii="宋体" w:hAnsi="宋体" w:eastAsia="宋体" w:cs="宋体"/>
          <w:szCs w:val="21"/>
          <w:highlight w:val="none"/>
        </w:rPr>
        <w:t>邮政编码：</w:t>
      </w:r>
      <w:r>
        <w:rPr>
          <w:rFonts w:hint="eastAsia" w:ascii="宋体" w:hAnsi="宋体" w:eastAsia="宋体" w:cs="宋体"/>
          <w:bCs/>
          <w:szCs w:val="21"/>
          <w:highlight w:val="none"/>
          <w:u w:val="single"/>
        </w:rPr>
        <w:t xml:space="preserve">      </w:t>
      </w:r>
      <w:r>
        <w:rPr>
          <w:rFonts w:hint="eastAsia" w:ascii="宋体" w:hAnsi="宋体" w:eastAsia="宋体" w:cs="宋体"/>
          <w:szCs w:val="21"/>
          <w:highlight w:val="none"/>
        </w:rPr>
        <w:t>电话：</w:t>
      </w:r>
      <w:r>
        <w:rPr>
          <w:rFonts w:hint="eastAsia" w:ascii="宋体" w:hAnsi="宋体" w:eastAsia="宋体" w:cs="宋体"/>
          <w:bCs/>
          <w:szCs w:val="21"/>
          <w:highlight w:val="none"/>
          <w:u w:val="single"/>
        </w:rPr>
        <w:t xml:space="preserve">      </w:t>
      </w:r>
      <w:r>
        <w:rPr>
          <w:rFonts w:hint="eastAsia" w:ascii="宋体" w:hAnsi="宋体" w:eastAsia="宋体" w:cs="宋体"/>
          <w:szCs w:val="21"/>
          <w:highlight w:val="none"/>
        </w:rPr>
        <w:t>传真：</w:t>
      </w:r>
      <w:r>
        <w:rPr>
          <w:rFonts w:hint="eastAsia" w:ascii="宋体" w:hAnsi="宋体" w:eastAsia="宋体" w:cs="宋体"/>
          <w:bCs/>
          <w:szCs w:val="21"/>
          <w:highlight w:val="none"/>
          <w:u w:val="single"/>
        </w:rPr>
        <w:t xml:space="preserve">      </w:t>
      </w:r>
    </w:p>
    <w:p>
      <w:pPr>
        <w:adjustRightInd w:val="0"/>
        <w:snapToGrid w:val="0"/>
        <w:spacing w:line="44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日期：</w:t>
      </w:r>
      <w:r>
        <w:rPr>
          <w:rFonts w:hint="eastAsia" w:ascii="宋体" w:hAnsi="宋体" w:eastAsia="宋体" w:cs="宋体"/>
          <w:bCs/>
          <w:szCs w:val="21"/>
          <w:highlight w:val="none"/>
          <w:u w:val="single"/>
        </w:rPr>
        <w:t xml:space="preserve">      </w:t>
      </w:r>
    </w:p>
    <w:p>
      <w:pPr>
        <w:adjustRightInd w:val="0"/>
        <w:snapToGrid w:val="0"/>
        <w:spacing w:line="440" w:lineRule="exact"/>
        <w:ind w:firstLine="420" w:firstLineChars="200"/>
        <w:rPr>
          <w:rFonts w:hint="eastAsia" w:ascii="宋体" w:hAnsi="宋体" w:eastAsia="宋体" w:cs="宋体"/>
          <w:highlight w:val="none"/>
        </w:rPr>
      </w:pPr>
      <w:r>
        <w:rPr>
          <w:rFonts w:hint="eastAsia" w:ascii="宋体" w:hAnsi="宋体" w:eastAsia="宋体" w:cs="宋体"/>
          <w:szCs w:val="21"/>
          <w:highlight w:val="none"/>
        </w:rPr>
        <w:t>（本保函失效后，请将原件退回我方注销）</w:t>
      </w:r>
    </w:p>
    <w:p>
      <w:pPr>
        <w:rPr>
          <w:highlight w:val="none"/>
        </w:rPr>
      </w:pPr>
    </w:p>
    <w:sectPr>
      <w:pgSz w:w="11907" w:h="16840"/>
      <w:pgMar w:top="1417" w:right="1417" w:bottom="1417" w:left="1417" w:header="851" w:footer="851" w:gutter="0"/>
      <w:pgNumType w:fmt="decimalFullWidt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细黑">
    <w:altName w:val="微软雅黑"/>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Microsoft YaHei UI">
    <w:panose1 w:val="020B0503020204020204"/>
    <w:charset w:val="86"/>
    <w:family w:val="swiss"/>
    <w:pitch w:val="default"/>
    <w:sig w:usb0="80000287" w:usb1="2ACF3C50" w:usb2="00000016" w:usb3="00000000" w:csb0="0004001F" w:csb1="00000000"/>
  </w:font>
  <w:font w:name="MingLiU">
    <w:altName w:val="PMingLiU-ExtB"/>
    <w:panose1 w:val="02020509000000000000"/>
    <w:charset w:val="88"/>
    <w:family w:val="moder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41979942"/>
      <w:docPartObj>
        <w:docPartGallery w:val="autotext"/>
      </w:docPartObj>
    </w:sdtPr>
    <w:sdtContent>
      <w:p>
        <w:pPr>
          <w:pStyle w:val="24"/>
          <w:jc w:val="center"/>
        </w:pP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PAGE   \* MERGEFORMAT</w:instrText>
        </w:r>
        <w:r>
          <w:rPr>
            <w:rFonts w:hint="eastAsia" w:ascii="宋体" w:hAnsi="宋体" w:eastAsia="宋体" w:cs="宋体"/>
            <w:sz w:val="18"/>
            <w:szCs w:val="18"/>
          </w:rPr>
          <w:fldChar w:fldCharType="separate"/>
        </w:r>
        <w:r>
          <w:rPr>
            <w:rFonts w:hint="eastAsia" w:ascii="宋体" w:hAnsi="宋体" w:eastAsia="宋体" w:cs="宋体"/>
            <w:sz w:val="18"/>
            <w:szCs w:val="18"/>
            <w:lang w:val="zh-CN"/>
          </w:rPr>
          <w:t>５４</w:t>
        </w:r>
        <w:r>
          <w:rPr>
            <w:rFonts w:hint="eastAsia" w:ascii="宋体" w:hAnsi="宋体" w:eastAsia="宋体" w:cs="宋体"/>
            <w:sz w:val="18"/>
            <w:szCs w:val="18"/>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 id="0" type="#_x0000_t75" style="width:16px;height:15px" o:bullet="t">
        <v:imagedata r:id="rId1" o:title=""/>
      </v:shape>
    </w:pict>
  </w:numPicBullet>
  <w:abstractNum w:abstractNumId="0">
    <w:nsid w:val="1B0E1F07"/>
    <w:multiLevelType w:val="multilevel"/>
    <w:tmpl w:val="1B0E1F07"/>
    <w:lvl w:ilvl="0" w:tentative="0">
      <w:start w:val="1"/>
      <w:numFmt w:val="bullet"/>
      <w:lvlText w:val=""/>
      <w:lvlPicBulletId w:val="0"/>
      <w:lvlJc w:val="left"/>
      <w:pPr>
        <w:tabs>
          <w:tab w:val="left" w:pos="420"/>
        </w:tabs>
        <w:ind w:left="420" w:firstLine="0"/>
      </w:pPr>
      <w:rPr>
        <w:rFonts w:hint="default" w:ascii="Symbol" w:hAnsi="Symbol"/>
      </w:rPr>
    </w:lvl>
    <w:lvl w:ilvl="1" w:tentative="0">
      <w:start w:val="1"/>
      <w:numFmt w:val="bullet"/>
      <w:lvlText w:val=""/>
      <w:lvlJc w:val="left"/>
      <w:pPr>
        <w:tabs>
          <w:tab w:val="left" w:pos="840"/>
        </w:tabs>
        <w:ind w:left="840" w:firstLine="0"/>
      </w:pPr>
      <w:rPr>
        <w:rFonts w:hint="default" w:ascii="Symbol" w:hAnsi="Symbol"/>
      </w:rPr>
    </w:lvl>
    <w:lvl w:ilvl="2" w:tentative="0">
      <w:start w:val="1"/>
      <w:numFmt w:val="bullet"/>
      <w:lvlText w:val=""/>
      <w:lvlJc w:val="left"/>
      <w:pPr>
        <w:tabs>
          <w:tab w:val="left" w:pos="1260"/>
        </w:tabs>
        <w:ind w:left="1260" w:firstLine="0"/>
      </w:pPr>
      <w:rPr>
        <w:rFonts w:hint="default" w:ascii="Symbol" w:hAnsi="Symbol"/>
      </w:rPr>
    </w:lvl>
    <w:lvl w:ilvl="3" w:tentative="0">
      <w:start w:val="1"/>
      <w:numFmt w:val="bullet"/>
      <w:lvlText w:val=""/>
      <w:lvlJc w:val="left"/>
      <w:pPr>
        <w:tabs>
          <w:tab w:val="left" w:pos="1680"/>
        </w:tabs>
        <w:ind w:left="1680" w:firstLine="0"/>
      </w:pPr>
      <w:rPr>
        <w:rFonts w:hint="default" w:ascii="Symbol" w:hAnsi="Symbol"/>
      </w:rPr>
    </w:lvl>
    <w:lvl w:ilvl="4" w:tentative="0">
      <w:start w:val="1"/>
      <w:numFmt w:val="bullet"/>
      <w:lvlText w:val=""/>
      <w:lvlJc w:val="left"/>
      <w:pPr>
        <w:tabs>
          <w:tab w:val="left" w:pos="2100"/>
        </w:tabs>
        <w:ind w:left="2100" w:firstLine="0"/>
      </w:pPr>
      <w:rPr>
        <w:rFonts w:hint="default" w:ascii="Symbol" w:hAnsi="Symbol"/>
      </w:rPr>
    </w:lvl>
    <w:lvl w:ilvl="5" w:tentative="0">
      <w:start w:val="1"/>
      <w:numFmt w:val="bullet"/>
      <w:lvlText w:val=""/>
      <w:lvlJc w:val="left"/>
      <w:pPr>
        <w:tabs>
          <w:tab w:val="left" w:pos="2520"/>
        </w:tabs>
        <w:ind w:left="2520" w:firstLine="0"/>
      </w:pPr>
      <w:rPr>
        <w:rFonts w:hint="default" w:ascii="Symbol" w:hAnsi="Symbol"/>
      </w:rPr>
    </w:lvl>
    <w:lvl w:ilvl="6" w:tentative="0">
      <w:start w:val="1"/>
      <w:numFmt w:val="bullet"/>
      <w:lvlText w:val=""/>
      <w:lvlJc w:val="left"/>
      <w:pPr>
        <w:tabs>
          <w:tab w:val="left" w:pos="2940"/>
        </w:tabs>
        <w:ind w:left="2940" w:firstLine="0"/>
      </w:pPr>
      <w:rPr>
        <w:rFonts w:hint="default" w:ascii="Symbol" w:hAnsi="Symbol"/>
      </w:rPr>
    </w:lvl>
    <w:lvl w:ilvl="7" w:tentative="0">
      <w:start w:val="1"/>
      <w:numFmt w:val="bullet"/>
      <w:lvlText w:val=""/>
      <w:lvlJc w:val="left"/>
      <w:pPr>
        <w:tabs>
          <w:tab w:val="left" w:pos="3360"/>
        </w:tabs>
        <w:ind w:left="3360" w:firstLine="0"/>
      </w:pPr>
      <w:rPr>
        <w:rFonts w:hint="default" w:ascii="Symbol" w:hAnsi="Symbol"/>
      </w:rPr>
    </w:lvl>
    <w:lvl w:ilvl="8" w:tentative="0">
      <w:start w:val="1"/>
      <w:numFmt w:val="bullet"/>
      <w:lvlText w:val=""/>
      <w:lvlJc w:val="left"/>
      <w:pPr>
        <w:tabs>
          <w:tab w:val="left" w:pos="3780"/>
        </w:tabs>
        <w:ind w:left="3780" w:firstLine="0"/>
      </w:pPr>
      <w:rPr>
        <w:rFonts w:hint="default" w:ascii="Symbol" w:hAnsi="Symbol"/>
      </w:rPr>
    </w:lvl>
  </w:abstractNum>
  <w:abstractNum w:abstractNumId="1">
    <w:nsid w:val="22091C47"/>
    <w:multiLevelType w:val="singleLevel"/>
    <w:tmpl w:val="22091C47"/>
    <w:lvl w:ilvl="0" w:tentative="0">
      <w:start w:val="18"/>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553E"/>
    <w:rsid w:val="00005A05"/>
    <w:rsid w:val="000566C2"/>
    <w:rsid w:val="000C2473"/>
    <w:rsid w:val="002D0A40"/>
    <w:rsid w:val="0040553E"/>
    <w:rsid w:val="005651E2"/>
    <w:rsid w:val="00572956"/>
    <w:rsid w:val="006F4B83"/>
    <w:rsid w:val="00743E1E"/>
    <w:rsid w:val="00A51EB6"/>
    <w:rsid w:val="00BB4731"/>
    <w:rsid w:val="00C55466"/>
    <w:rsid w:val="00C6526C"/>
    <w:rsid w:val="00DF73EB"/>
    <w:rsid w:val="00E1509A"/>
    <w:rsid w:val="00E870A6"/>
    <w:rsid w:val="00FF2678"/>
    <w:rsid w:val="0209750F"/>
    <w:rsid w:val="02436620"/>
    <w:rsid w:val="025178BC"/>
    <w:rsid w:val="028A2DD8"/>
    <w:rsid w:val="02F30791"/>
    <w:rsid w:val="03B37755"/>
    <w:rsid w:val="04004BE4"/>
    <w:rsid w:val="044D4127"/>
    <w:rsid w:val="04C658A8"/>
    <w:rsid w:val="070F34A1"/>
    <w:rsid w:val="07C21D59"/>
    <w:rsid w:val="07CE6DE2"/>
    <w:rsid w:val="08356D17"/>
    <w:rsid w:val="0970101E"/>
    <w:rsid w:val="0A6F39F4"/>
    <w:rsid w:val="0AE25CA4"/>
    <w:rsid w:val="0B38066E"/>
    <w:rsid w:val="0D2D40C0"/>
    <w:rsid w:val="0EA6783D"/>
    <w:rsid w:val="10C46F42"/>
    <w:rsid w:val="113F0B6A"/>
    <w:rsid w:val="121B502E"/>
    <w:rsid w:val="137A0DF2"/>
    <w:rsid w:val="13AB5E31"/>
    <w:rsid w:val="151E647C"/>
    <w:rsid w:val="16084351"/>
    <w:rsid w:val="1A88649F"/>
    <w:rsid w:val="1AA024D3"/>
    <w:rsid w:val="1C272F53"/>
    <w:rsid w:val="1C5A0E01"/>
    <w:rsid w:val="2054286A"/>
    <w:rsid w:val="20743960"/>
    <w:rsid w:val="214B21A5"/>
    <w:rsid w:val="216B660D"/>
    <w:rsid w:val="22322DDE"/>
    <w:rsid w:val="241B036A"/>
    <w:rsid w:val="24BC4213"/>
    <w:rsid w:val="262E63AD"/>
    <w:rsid w:val="26B14AD3"/>
    <w:rsid w:val="285370EA"/>
    <w:rsid w:val="2A3864F7"/>
    <w:rsid w:val="2B953A99"/>
    <w:rsid w:val="2BFB58D0"/>
    <w:rsid w:val="2C262A94"/>
    <w:rsid w:val="2C805C39"/>
    <w:rsid w:val="2CC73B34"/>
    <w:rsid w:val="2CF41AC6"/>
    <w:rsid w:val="2DCA4350"/>
    <w:rsid w:val="2E0A3DAE"/>
    <w:rsid w:val="30222BBD"/>
    <w:rsid w:val="33F464DE"/>
    <w:rsid w:val="35F05311"/>
    <w:rsid w:val="37D168FA"/>
    <w:rsid w:val="3886378E"/>
    <w:rsid w:val="38C567F6"/>
    <w:rsid w:val="39C54A80"/>
    <w:rsid w:val="3A333EAD"/>
    <w:rsid w:val="3C396C88"/>
    <w:rsid w:val="3DB771A5"/>
    <w:rsid w:val="3EA47CEA"/>
    <w:rsid w:val="3EBE5DC6"/>
    <w:rsid w:val="3F3F5061"/>
    <w:rsid w:val="40CC5A15"/>
    <w:rsid w:val="426D12D2"/>
    <w:rsid w:val="427063C3"/>
    <w:rsid w:val="42D743BD"/>
    <w:rsid w:val="434A52AA"/>
    <w:rsid w:val="45031765"/>
    <w:rsid w:val="450D709C"/>
    <w:rsid w:val="45734BDC"/>
    <w:rsid w:val="45E03102"/>
    <w:rsid w:val="46612F50"/>
    <w:rsid w:val="4817163E"/>
    <w:rsid w:val="48807FB7"/>
    <w:rsid w:val="498C3FC4"/>
    <w:rsid w:val="4AAB216E"/>
    <w:rsid w:val="4AC7629A"/>
    <w:rsid w:val="4C895736"/>
    <w:rsid w:val="4D023454"/>
    <w:rsid w:val="4D1B0CBC"/>
    <w:rsid w:val="4FDF4EFA"/>
    <w:rsid w:val="5035297F"/>
    <w:rsid w:val="50F96C53"/>
    <w:rsid w:val="51B24DEB"/>
    <w:rsid w:val="51D14E4E"/>
    <w:rsid w:val="51D169A5"/>
    <w:rsid w:val="53ED1419"/>
    <w:rsid w:val="552B2255"/>
    <w:rsid w:val="55624EAE"/>
    <w:rsid w:val="574D0586"/>
    <w:rsid w:val="5A1F57EA"/>
    <w:rsid w:val="5A8A42B8"/>
    <w:rsid w:val="5AE2331B"/>
    <w:rsid w:val="5DCF3690"/>
    <w:rsid w:val="5DEA0C4B"/>
    <w:rsid w:val="5F496BD7"/>
    <w:rsid w:val="5F896AA6"/>
    <w:rsid w:val="62431503"/>
    <w:rsid w:val="64DD02EE"/>
    <w:rsid w:val="65F77A0A"/>
    <w:rsid w:val="67445AE1"/>
    <w:rsid w:val="69787F3C"/>
    <w:rsid w:val="6C0C1173"/>
    <w:rsid w:val="6C20045E"/>
    <w:rsid w:val="6C994AB5"/>
    <w:rsid w:val="6DED394A"/>
    <w:rsid w:val="6F165CDC"/>
    <w:rsid w:val="70712387"/>
    <w:rsid w:val="72D35F3E"/>
    <w:rsid w:val="747B4B56"/>
    <w:rsid w:val="748B539F"/>
    <w:rsid w:val="74ED2619"/>
    <w:rsid w:val="75D4368B"/>
    <w:rsid w:val="76BA2238"/>
    <w:rsid w:val="79FB7A95"/>
    <w:rsid w:val="7AA87312"/>
    <w:rsid w:val="7AF00FB6"/>
    <w:rsid w:val="7AFD437D"/>
    <w:rsid w:val="7B022D7E"/>
    <w:rsid w:val="7F537FF4"/>
    <w:rsid w:val="7FD25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0"/>
    <w:pPr>
      <w:keepNext/>
      <w:keepLines/>
      <w:widowControl/>
      <w:spacing w:before="340" w:after="330"/>
      <w:jc w:val="left"/>
      <w:outlineLvl w:val="0"/>
    </w:pPr>
    <w:rPr>
      <w:rFonts w:ascii="华文细黑" w:hAnsi="宋体" w:eastAsia="宋体" w:cs="宋体"/>
      <w:b/>
      <w:bCs/>
      <w:snapToGrid w:val="0"/>
      <w:kern w:val="0"/>
      <w:sz w:val="28"/>
      <w:szCs w:val="44"/>
      <w:lang w:val="zh-CN" w:eastAsia="zh-CN"/>
    </w:rPr>
  </w:style>
  <w:style w:type="paragraph" w:styleId="3">
    <w:name w:val="heading 2"/>
    <w:basedOn w:val="1"/>
    <w:next w:val="1"/>
    <w:link w:val="47"/>
    <w:qFormat/>
    <w:uiPriority w:val="0"/>
    <w:pPr>
      <w:widowControl/>
      <w:spacing w:before="260" w:after="260"/>
      <w:jc w:val="center"/>
      <w:outlineLvl w:val="1"/>
    </w:pPr>
    <w:rPr>
      <w:rFonts w:ascii="华文细黑" w:hAnsi="Arial" w:eastAsia="宋体" w:cs="宋体"/>
      <w:b/>
      <w:bCs/>
      <w:kern w:val="0"/>
      <w:sz w:val="44"/>
      <w:szCs w:val="32"/>
      <w:lang w:val="zh-CN" w:eastAsia="zh-CN"/>
    </w:rPr>
  </w:style>
  <w:style w:type="paragraph" w:styleId="4">
    <w:name w:val="heading 3"/>
    <w:basedOn w:val="1"/>
    <w:next w:val="1"/>
    <w:link w:val="48"/>
    <w:qFormat/>
    <w:uiPriority w:val="0"/>
    <w:pPr>
      <w:keepNext/>
      <w:keepLines/>
      <w:widowControl/>
      <w:spacing w:before="260" w:after="260" w:line="416" w:lineRule="auto"/>
      <w:jc w:val="left"/>
      <w:outlineLvl w:val="2"/>
    </w:pPr>
    <w:rPr>
      <w:rFonts w:ascii="宋体" w:hAnsi="宋体" w:eastAsia="华文细黑" w:cs="宋体"/>
      <w:bCs/>
      <w:kern w:val="0"/>
      <w:sz w:val="36"/>
      <w:szCs w:val="32"/>
      <w:lang w:val="zh-CN" w:eastAsia="zh-CN"/>
    </w:rPr>
  </w:style>
  <w:style w:type="paragraph" w:styleId="5">
    <w:name w:val="heading 4"/>
    <w:basedOn w:val="1"/>
    <w:next w:val="1"/>
    <w:link w:val="49"/>
    <w:qFormat/>
    <w:uiPriority w:val="0"/>
    <w:pPr>
      <w:keepNext/>
      <w:keepLines/>
      <w:widowControl/>
      <w:spacing w:before="280" w:after="290" w:line="376" w:lineRule="auto"/>
      <w:jc w:val="left"/>
      <w:outlineLvl w:val="3"/>
    </w:pPr>
    <w:rPr>
      <w:rFonts w:ascii="Arial" w:hAnsi="Arial" w:eastAsia="黑体" w:cs="宋体"/>
      <w:b/>
      <w:bCs/>
      <w:kern w:val="0"/>
      <w:sz w:val="28"/>
      <w:szCs w:val="28"/>
      <w:lang w:val="zh-CN" w:eastAsia="zh-CN"/>
    </w:rPr>
  </w:style>
  <w:style w:type="paragraph" w:styleId="6">
    <w:name w:val="heading 5"/>
    <w:basedOn w:val="1"/>
    <w:next w:val="1"/>
    <w:link w:val="50"/>
    <w:qFormat/>
    <w:uiPriority w:val="0"/>
    <w:pPr>
      <w:keepNext/>
      <w:keepLines/>
      <w:widowControl/>
      <w:spacing w:before="280" w:after="290" w:line="376" w:lineRule="auto"/>
      <w:jc w:val="left"/>
      <w:outlineLvl w:val="4"/>
    </w:pPr>
    <w:rPr>
      <w:rFonts w:ascii="宋体" w:hAnsi="宋体" w:eastAsia="宋体" w:cs="宋体"/>
      <w:b/>
      <w:bCs/>
      <w:kern w:val="0"/>
      <w:sz w:val="28"/>
      <w:szCs w:val="28"/>
      <w:lang w:val="zh-CN" w:eastAsia="zh-CN"/>
    </w:rPr>
  </w:style>
  <w:style w:type="paragraph" w:styleId="7">
    <w:name w:val="heading 6"/>
    <w:basedOn w:val="1"/>
    <w:next w:val="1"/>
    <w:link w:val="51"/>
    <w:qFormat/>
    <w:uiPriority w:val="0"/>
    <w:pPr>
      <w:keepNext/>
      <w:keepLines/>
      <w:widowControl/>
      <w:spacing w:before="240" w:after="64" w:line="320" w:lineRule="auto"/>
      <w:jc w:val="left"/>
      <w:outlineLvl w:val="5"/>
    </w:pPr>
    <w:rPr>
      <w:rFonts w:ascii="Arial" w:hAnsi="Arial" w:eastAsia="黑体" w:cs="宋体"/>
      <w:b/>
      <w:bCs/>
      <w:kern w:val="0"/>
      <w:sz w:val="24"/>
      <w:szCs w:val="24"/>
      <w:lang w:val="zh-CN" w:eastAsia="zh-CN"/>
    </w:rPr>
  </w:style>
  <w:style w:type="paragraph" w:styleId="8">
    <w:name w:val="heading 7"/>
    <w:basedOn w:val="1"/>
    <w:next w:val="1"/>
    <w:link w:val="52"/>
    <w:qFormat/>
    <w:uiPriority w:val="0"/>
    <w:pPr>
      <w:keepNext/>
      <w:keepLines/>
      <w:widowControl/>
      <w:spacing w:before="240" w:after="64" w:line="320" w:lineRule="auto"/>
      <w:jc w:val="left"/>
      <w:outlineLvl w:val="6"/>
    </w:pPr>
    <w:rPr>
      <w:rFonts w:ascii="宋体" w:hAnsi="宋体" w:eastAsia="宋体" w:cs="宋体"/>
      <w:b/>
      <w:bCs/>
      <w:kern w:val="0"/>
      <w:sz w:val="24"/>
      <w:szCs w:val="24"/>
      <w:lang w:val="zh-CN" w:eastAsia="zh-CN"/>
    </w:rPr>
  </w:style>
  <w:style w:type="paragraph" w:styleId="9">
    <w:name w:val="heading 8"/>
    <w:basedOn w:val="1"/>
    <w:next w:val="1"/>
    <w:link w:val="53"/>
    <w:qFormat/>
    <w:uiPriority w:val="0"/>
    <w:pPr>
      <w:keepNext/>
      <w:keepLines/>
      <w:widowControl/>
      <w:spacing w:before="240" w:after="64" w:line="320" w:lineRule="auto"/>
      <w:jc w:val="left"/>
      <w:outlineLvl w:val="7"/>
    </w:pPr>
    <w:rPr>
      <w:rFonts w:ascii="Arial" w:hAnsi="Arial" w:eastAsia="黑体" w:cs="宋体"/>
      <w:kern w:val="0"/>
      <w:sz w:val="24"/>
      <w:szCs w:val="24"/>
      <w:lang w:val="zh-CN" w:eastAsia="zh-CN"/>
    </w:rPr>
  </w:style>
  <w:style w:type="paragraph" w:styleId="10">
    <w:name w:val="heading 9"/>
    <w:basedOn w:val="1"/>
    <w:next w:val="1"/>
    <w:link w:val="54"/>
    <w:qFormat/>
    <w:uiPriority w:val="0"/>
    <w:pPr>
      <w:keepNext/>
      <w:keepLines/>
      <w:widowControl/>
      <w:spacing w:before="240" w:after="64" w:line="320" w:lineRule="auto"/>
      <w:jc w:val="left"/>
      <w:outlineLvl w:val="8"/>
    </w:pPr>
    <w:rPr>
      <w:rFonts w:ascii="Arial" w:hAnsi="Arial" w:eastAsia="黑体" w:cs="宋体"/>
      <w:kern w:val="0"/>
      <w:sz w:val="24"/>
      <w:szCs w:val="21"/>
      <w:lang w:val="zh-CN" w:eastAsia="zh-CN"/>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Layout w:type="fixed"/>
      <w:tblCellMar>
        <w:top w:w="0" w:type="dxa"/>
        <w:left w:w="108" w:type="dxa"/>
        <w:bottom w:w="0" w:type="dxa"/>
        <w:right w:w="108" w:type="dxa"/>
      </w:tblCellMar>
    </w:tblPr>
  </w:style>
  <w:style w:type="paragraph" w:styleId="11">
    <w:name w:val="toc 7"/>
    <w:basedOn w:val="1"/>
    <w:next w:val="1"/>
    <w:qFormat/>
    <w:uiPriority w:val="39"/>
    <w:pPr>
      <w:widowControl/>
      <w:ind w:left="1440"/>
      <w:jc w:val="left"/>
    </w:pPr>
    <w:rPr>
      <w:rFonts w:ascii="宋体" w:hAnsi="宋体" w:eastAsia="宋体" w:cs="宋体"/>
      <w:kern w:val="0"/>
      <w:sz w:val="18"/>
      <w:szCs w:val="18"/>
    </w:rPr>
  </w:style>
  <w:style w:type="paragraph" w:styleId="12">
    <w:name w:val="Normal Indent"/>
    <w:basedOn w:val="1"/>
    <w:qFormat/>
    <w:uiPriority w:val="0"/>
    <w:pPr>
      <w:widowControl/>
      <w:ind w:firstLine="420"/>
      <w:jc w:val="left"/>
    </w:pPr>
    <w:rPr>
      <w:rFonts w:ascii="宋体" w:hAnsi="宋体" w:eastAsia="宋体" w:cs="宋体"/>
      <w:kern w:val="0"/>
      <w:sz w:val="24"/>
      <w:szCs w:val="20"/>
    </w:rPr>
  </w:style>
  <w:style w:type="paragraph" w:styleId="13">
    <w:name w:val="Document Map"/>
    <w:basedOn w:val="1"/>
    <w:link w:val="59"/>
    <w:qFormat/>
    <w:uiPriority w:val="0"/>
    <w:pPr>
      <w:widowControl/>
      <w:shd w:val="clear" w:color="auto" w:fill="000080"/>
      <w:jc w:val="left"/>
    </w:pPr>
    <w:rPr>
      <w:rFonts w:ascii="Times New Roman" w:hAnsi="Times New Roman"/>
      <w:sz w:val="24"/>
      <w:szCs w:val="24"/>
    </w:rPr>
  </w:style>
  <w:style w:type="paragraph" w:styleId="14">
    <w:name w:val="annotation text"/>
    <w:basedOn w:val="1"/>
    <w:link w:val="55"/>
    <w:qFormat/>
    <w:uiPriority w:val="0"/>
    <w:pPr>
      <w:widowControl/>
      <w:jc w:val="left"/>
    </w:pPr>
    <w:rPr>
      <w:rFonts w:ascii="Times New Roman" w:hAnsi="Times New Roman"/>
      <w:szCs w:val="24"/>
    </w:rPr>
  </w:style>
  <w:style w:type="paragraph" w:styleId="15">
    <w:name w:val="Body Text"/>
    <w:basedOn w:val="1"/>
    <w:link w:val="69"/>
    <w:qFormat/>
    <w:uiPriority w:val="0"/>
    <w:pPr>
      <w:widowControl/>
      <w:spacing w:line="320" w:lineRule="exact"/>
      <w:jc w:val="left"/>
    </w:pPr>
    <w:rPr>
      <w:rFonts w:ascii="宋体" w:hAnsi="宋体" w:eastAsia="宋体" w:cs="宋体"/>
      <w:b/>
      <w:bCs/>
      <w:kern w:val="0"/>
      <w:sz w:val="24"/>
      <w:szCs w:val="24"/>
    </w:rPr>
  </w:style>
  <w:style w:type="paragraph" w:styleId="16">
    <w:name w:val="Body Text Indent"/>
    <w:basedOn w:val="1"/>
    <w:link w:val="71"/>
    <w:qFormat/>
    <w:uiPriority w:val="0"/>
    <w:pPr>
      <w:widowControl/>
      <w:spacing w:line="360" w:lineRule="auto"/>
      <w:ind w:firstLine="630"/>
      <w:jc w:val="left"/>
    </w:pPr>
    <w:rPr>
      <w:rFonts w:ascii="宋体" w:hAnsi="宋体" w:eastAsia="宋体" w:cs="宋体"/>
      <w:kern w:val="0"/>
      <w:sz w:val="24"/>
      <w:szCs w:val="20"/>
    </w:rPr>
  </w:style>
  <w:style w:type="paragraph" w:styleId="17">
    <w:name w:val="toc 5"/>
    <w:basedOn w:val="1"/>
    <w:next w:val="1"/>
    <w:qFormat/>
    <w:uiPriority w:val="39"/>
    <w:pPr>
      <w:widowControl/>
      <w:ind w:left="960"/>
      <w:jc w:val="left"/>
    </w:pPr>
    <w:rPr>
      <w:rFonts w:ascii="宋体" w:hAnsi="宋体" w:eastAsia="宋体" w:cs="宋体"/>
      <w:kern w:val="0"/>
      <w:sz w:val="18"/>
      <w:szCs w:val="18"/>
    </w:rPr>
  </w:style>
  <w:style w:type="paragraph" w:styleId="18">
    <w:name w:val="toc 3"/>
    <w:basedOn w:val="1"/>
    <w:next w:val="1"/>
    <w:qFormat/>
    <w:uiPriority w:val="39"/>
    <w:pPr>
      <w:widowControl/>
      <w:ind w:left="480"/>
      <w:jc w:val="left"/>
    </w:pPr>
    <w:rPr>
      <w:rFonts w:ascii="宋体" w:hAnsi="宋体" w:eastAsia="宋体" w:cs="宋体"/>
      <w:i/>
      <w:iCs/>
      <w:kern w:val="0"/>
      <w:sz w:val="20"/>
      <w:szCs w:val="20"/>
    </w:rPr>
  </w:style>
  <w:style w:type="paragraph" w:styleId="19">
    <w:name w:val="Plain Text"/>
    <w:basedOn w:val="1"/>
    <w:link w:val="68"/>
    <w:qFormat/>
    <w:uiPriority w:val="0"/>
    <w:pPr>
      <w:widowControl/>
      <w:jc w:val="left"/>
    </w:pPr>
    <w:rPr>
      <w:rFonts w:ascii="宋体" w:hAnsi="Courier New" w:eastAsia="宋体" w:cs="Courier New"/>
      <w:kern w:val="0"/>
      <w:sz w:val="24"/>
      <w:szCs w:val="21"/>
    </w:rPr>
  </w:style>
  <w:style w:type="paragraph" w:styleId="20">
    <w:name w:val="toc 8"/>
    <w:basedOn w:val="1"/>
    <w:next w:val="1"/>
    <w:qFormat/>
    <w:uiPriority w:val="39"/>
    <w:pPr>
      <w:widowControl/>
      <w:ind w:left="1680"/>
      <w:jc w:val="left"/>
    </w:pPr>
    <w:rPr>
      <w:rFonts w:ascii="宋体" w:hAnsi="宋体" w:eastAsia="宋体" w:cs="宋体"/>
      <w:kern w:val="0"/>
      <w:sz w:val="18"/>
      <w:szCs w:val="18"/>
    </w:rPr>
  </w:style>
  <w:style w:type="paragraph" w:styleId="21">
    <w:name w:val="Date"/>
    <w:basedOn w:val="1"/>
    <w:next w:val="1"/>
    <w:link w:val="74"/>
    <w:qFormat/>
    <w:uiPriority w:val="0"/>
    <w:pPr>
      <w:widowControl/>
      <w:ind w:left="100" w:leftChars="2500"/>
      <w:jc w:val="left"/>
    </w:pPr>
    <w:rPr>
      <w:szCs w:val="24"/>
    </w:rPr>
  </w:style>
  <w:style w:type="paragraph" w:styleId="22">
    <w:name w:val="Body Text Indent 2"/>
    <w:basedOn w:val="1"/>
    <w:link w:val="70"/>
    <w:qFormat/>
    <w:uiPriority w:val="0"/>
    <w:pPr>
      <w:widowControl/>
      <w:ind w:firstLine="640" w:firstLineChars="200"/>
      <w:jc w:val="left"/>
    </w:pPr>
    <w:rPr>
      <w:rFonts w:ascii="宋体" w:hAnsi="宋体" w:eastAsia="仿宋_GB2312" w:cs="宋体"/>
      <w:kern w:val="0"/>
      <w:sz w:val="32"/>
      <w:szCs w:val="24"/>
    </w:rPr>
  </w:style>
  <w:style w:type="paragraph" w:styleId="23">
    <w:name w:val="Balloon Text"/>
    <w:basedOn w:val="1"/>
    <w:link w:val="58"/>
    <w:qFormat/>
    <w:uiPriority w:val="0"/>
    <w:pPr>
      <w:widowControl/>
      <w:jc w:val="left"/>
    </w:pPr>
    <w:rPr>
      <w:rFonts w:ascii="宋体" w:hAnsi="宋体" w:eastAsia="宋体" w:cs="宋体"/>
      <w:kern w:val="0"/>
      <w:sz w:val="18"/>
      <w:szCs w:val="18"/>
      <w:lang w:val="zh-CN" w:eastAsia="zh-CN"/>
    </w:rPr>
  </w:style>
  <w:style w:type="paragraph" w:styleId="24">
    <w:name w:val="footer"/>
    <w:basedOn w:val="1"/>
    <w:link w:val="64"/>
    <w:unhideWhenUsed/>
    <w:qFormat/>
    <w:uiPriority w:val="99"/>
    <w:pPr>
      <w:widowControl/>
      <w:tabs>
        <w:tab w:val="center" w:pos="4153"/>
        <w:tab w:val="right" w:pos="8306"/>
      </w:tabs>
      <w:snapToGrid w:val="0"/>
      <w:jc w:val="left"/>
    </w:pPr>
    <w:rPr>
      <w:rFonts w:ascii="宋体" w:hAnsi="宋体" w:eastAsia="宋体" w:cs="宋体"/>
      <w:kern w:val="0"/>
      <w:sz w:val="18"/>
      <w:szCs w:val="18"/>
    </w:rPr>
  </w:style>
  <w:style w:type="paragraph" w:styleId="25">
    <w:name w:val="header"/>
    <w:basedOn w:val="1"/>
    <w:link w:val="62"/>
    <w:unhideWhenUsed/>
    <w:qFormat/>
    <w:uiPriority w:val="0"/>
    <w:pPr>
      <w:widowControl/>
      <w:pBdr>
        <w:bottom w:val="single" w:color="auto" w:sz="6" w:space="1"/>
      </w:pBdr>
      <w:tabs>
        <w:tab w:val="center" w:pos="4153"/>
        <w:tab w:val="right" w:pos="8306"/>
      </w:tabs>
      <w:snapToGrid w:val="0"/>
      <w:jc w:val="center"/>
    </w:pPr>
    <w:rPr>
      <w:rFonts w:ascii="宋体" w:hAnsi="宋体" w:eastAsia="宋体" w:cs="宋体"/>
      <w:kern w:val="0"/>
      <w:sz w:val="18"/>
      <w:szCs w:val="18"/>
    </w:rPr>
  </w:style>
  <w:style w:type="paragraph" w:styleId="26">
    <w:name w:val="toc 1"/>
    <w:basedOn w:val="1"/>
    <w:next w:val="1"/>
    <w:qFormat/>
    <w:uiPriority w:val="39"/>
    <w:pPr>
      <w:widowControl/>
      <w:spacing w:before="120" w:after="120"/>
      <w:jc w:val="left"/>
    </w:pPr>
    <w:rPr>
      <w:rFonts w:ascii="宋体" w:hAnsi="宋体" w:eastAsia="宋体" w:cs="宋体"/>
      <w:b/>
      <w:bCs/>
      <w:caps/>
      <w:kern w:val="0"/>
      <w:sz w:val="20"/>
      <w:szCs w:val="20"/>
    </w:rPr>
  </w:style>
  <w:style w:type="paragraph" w:styleId="27">
    <w:name w:val="toc 4"/>
    <w:basedOn w:val="1"/>
    <w:next w:val="1"/>
    <w:qFormat/>
    <w:uiPriority w:val="39"/>
    <w:pPr>
      <w:widowControl/>
      <w:ind w:left="720"/>
      <w:jc w:val="left"/>
    </w:pPr>
    <w:rPr>
      <w:rFonts w:ascii="宋体" w:hAnsi="宋体" w:eastAsia="宋体" w:cs="宋体"/>
      <w:kern w:val="0"/>
      <w:sz w:val="18"/>
      <w:szCs w:val="18"/>
    </w:rPr>
  </w:style>
  <w:style w:type="paragraph" w:styleId="28">
    <w:name w:val="toc 6"/>
    <w:basedOn w:val="1"/>
    <w:next w:val="1"/>
    <w:qFormat/>
    <w:uiPriority w:val="39"/>
    <w:pPr>
      <w:widowControl/>
      <w:ind w:left="1200"/>
      <w:jc w:val="left"/>
    </w:pPr>
    <w:rPr>
      <w:rFonts w:ascii="宋体" w:hAnsi="宋体" w:eastAsia="宋体" w:cs="宋体"/>
      <w:kern w:val="0"/>
      <w:sz w:val="18"/>
      <w:szCs w:val="18"/>
    </w:rPr>
  </w:style>
  <w:style w:type="paragraph" w:styleId="29">
    <w:name w:val="List 5"/>
    <w:basedOn w:val="1"/>
    <w:qFormat/>
    <w:uiPriority w:val="0"/>
    <w:pPr>
      <w:widowControl/>
      <w:ind w:left="2100" w:hanging="420"/>
      <w:jc w:val="left"/>
    </w:pPr>
    <w:rPr>
      <w:rFonts w:ascii="宋体" w:hAnsi="宋体" w:eastAsia="宋体" w:cs="宋体"/>
      <w:kern w:val="0"/>
      <w:sz w:val="24"/>
      <w:szCs w:val="20"/>
    </w:rPr>
  </w:style>
  <w:style w:type="paragraph" w:styleId="30">
    <w:name w:val="Body Text Indent 3"/>
    <w:basedOn w:val="1"/>
    <w:link w:val="72"/>
    <w:qFormat/>
    <w:uiPriority w:val="0"/>
    <w:pPr>
      <w:widowControl/>
      <w:spacing w:line="400" w:lineRule="exact"/>
      <w:ind w:firstLine="630"/>
      <w:jc w:val="left"/>
    </w:pPr>
    <w:rPr>
      <w:rFonts w:ascii="宋体" w:hAnsi="宋体" w:eastAsia="宋体" w:cs="宋体"/>
      <w:kern w:val="0"/>
      <w:sz w:val="24"/>
      <w:szCs w:val="24"/>
    </w:rPr>
  </w:style>
  <w:style w:type="paragraph" w:styleId="31">
    <w:name w:val="toc 2"/>
    <w:basedOn w:val="1"/>
    <w:next w:val="1"/>
    <w:qFormat/>
    <w:uiPriority w:val="39"/>
    <w:pPr>
      <w:widowControl/>
      <w:ind w:left="240"/>
      <w:jc w:val="left"/>
    </w:pPr>
    <w:rPr>
      <w:rFonts w:ascii="宋体" w:hAnsi="宋体" w:eastAsia="宋体" w:cs="宋体"/>
      <w:smallCaps/>
      <w:kern w:val="0"/>
      <w:sz w:val="20"/>
      <w:szCs w:val="20"/>
    </w:rPr>
  </w:style>
  <w:style w:type="paragraph" w:styleId="32">
    <w:name w:val="toc 9"/>
    <w:basedOn w:val="1"/>
    <w:next w:val="1"/>
    <w:qFormat/>
    <w:uiPriority w:val="39"/>
    <w:pPr>
      <w:widowControl/>
      <w:ind w:left="1920"/>
      <w:jc w:val="left"/>
    </w:pPr>
    <w:rPr>
      <w:rFonts w:ascii="宋体" w:hAnsi="宋体" w:eastAsia="宋体" w:cs="宋体"/>
      <w:kern w:val="0"/>
      <w:sz w:val="18"/>
      <w:szCs w:val="18"/>
    </w:rPr>
  </w:style>
  <w:style w:type="paragraph" w:styleId="33">
    <w:name w:val="Body Text 2"/>
    <w:basedOn w:val="1"/>
    <w:link w:val="73"/>
    <w:qFormat/>
    <w:uiPriority w:val="0"/>
    <w:pPr>
      <w:widowControl/>
      <w:jc w:val="left"/>
    </w:pPr>
    <w:rPr>
      <w:rFonts w:ascii="楷体_GB2312" w:hAnsi="宋体" w:eastAsia="楷体_GB2312" w:cs="宋体"/>
      <w:color w:val="000000"/>
      <w:kern w:val="0"/>
      <w:sz w:val="24"/>
      <w:szCs w:val="21"/>
    </w:rPr>
  </w:style>
  <w:style w:type="paragraph" w:styleId="34">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paragraph" w:styleId="35">
    <w:name w:val="index 1"/>
    <w:basedOn w:val="1"/>
    <w:next w:val="1"/>
    <w:qFormat/>
    <w:uiPriority w:val="0"/>
    <w:pPr>
      <w:widowControl/>
      <w:spacing w:line="360" w:lineRule="auto"/>
      <w:jc w:val="left"/>
    </w:pPr>
    <w:rPr>
      <w:rFonts w:ascii="宋体" w:hAnsi="宋体" w:eastAsia="宋体" w:cs="宋体"/>
      <w:b/>
      <w:color w:val="0000FF"/>
      <w:kern w:val="0"/>
      <w:sz w:val="24"/>
      <w:szCs w:val="24"/>
    </w:rPr>
  </w:style>
  <w:style w:type="paragraph" w:styleId="36">
    <w:name w:val="Title"/>
    <w:basedOn w:val="1"/>
    <w:next w:val="1"/>
    <w:link w:val="82"/>
    <w:qFormat/>
    <w:uiPriority w:val="0"/>
    <w:pPr>
      <w:widowControl/>
      <w:spacing w:before="240" w:after="60"/>
      <w:jc w:val="center"/>
      <w:outlineLvl w:val="0"/>
    </w:pPr>
    <w:rPr>
      <w:rFonts w:ascii="Cambria" w:hAnsi="Cambria" w:eastAsia="宋体" w:cs="宋体"/>
      <w:b/>
      <w:bCs/>
      <w:kern w:val="0"/>
      <w:sz w:val="32"/>
      <w:szCs w:val="32"/>
    </w:rPr>
  </w:style>
  <w:style w:type="paragraph" w:styleId="37">
    <w:name w:val="annotation subject"/>
    <w:basedOn w:val="14"/>
    <w:next w:val="14"/>
    <w:link w:val="65"/>
    <w:unhideWhenUsed/>
    <w:qFormat/>
    <w:uiPriority w:val="0"/>
    <w:rPr>
      <w:b/>
      <w:bCs/>
    </w:rPr>
  </w:style>
  <w:style w:type="table" w:styleId="39">
    <w:name w:val="Table Grid"/>
    <w:basedOn w:val="38"/>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1">
    <w:name w:val="Strong"/>
    <w:qFormat/>
    <w:uiPriority w:val="0"/>
    <w:rPr>
      <w:b/>
      <w:bCs/>
    </w:rPr>
  </w:style>
  <w:style w:type="character" w:styleId="42">
    <w:name w:val="page number"/>
    <w:basedOn w:val="40"/>
    <w:qFormat/>
    <w:uiPriority w:val="0"/>
  </w:style>
  <w:style w:type="character" w:styleId="43">
    <w:name w:val="FollowedHyperlink"/>
    <w:unhideWhenUsed/>
    <w:qFormat/>
    <w:uiPriority w:val="99"/>
    <w:rPr>
      <w:color w:val="800080"/>
      <w:u w:val="single"/>
    </w:rPr>
  </w:style>
  <w:style w:type="character" w:styleId="44">
    <w:name w:val="Hyperlink"/>
    <w:qFormat/>
    <w:uiPriority w:val="99"/>
    <w:rPr>
      <w:color w:val="0000FF"/>
      <w:u w:val="single"/>
    </w:rPr>
  </w:style>
  <w:style w:type="character" w:styleId="45">
    <w:name w:val="annotation reference"/>
    <w:unhideWhenUsed/>
    <w:qFormat/>
    <w:uiPriority w:val="99"/>
    <w:rPr>
      <w:sz w:val="21"/>
      <w:szCs w:val="21"/>
    </w:rPr>
  </w:style>
  <w:style w:type="character" w:customStyle="1" w:styleId="46">
    <w:name w:val="标题 1 字符"/>
    <w:basedOn w:val="40"/>
    <w:link w:val="2"/>
    <w:qFormat/>
    <w:uiPriority w:val="0"/>
    <w:rPr>
      <w:rFonts w:ascii="华文细黑" w:hAnsi="宋体" w:eastAsia="宋体" w:cs="宋体"/>
      <w:b/>
      <w:bCs/>
      <w:snapToGrid w:val="0"/>
      <w:kern w:val="0"/>
      <w:sz w:val="28"/>
      <w:szCs w:val="44"/>
      <w:lang w:val="zh-CN" w:eastAsia="zh-CN"/>
    </w:rPr>
  </w:style>
  <w:style w:type="character" w:customStyle="1" w:styleId="47">
    <w:name w:val="标题 2 字符"/>
    <w:basedOn w:val="40"/>
    <w:link w:val="3"/>
    <w:qFormat/>
    <w:uiPriority w:val="0"/>
    <w:rPr>
      <w:rFonts w:ascii="华文细黑" w:hAnsi="Arial" w:eastAsia="宋体" w:cs="宋体"/>
      <w:b/>
      <w:bCs/>
      <w:kern w:val="0"/>
      <w:sz w:val="44"/>
      <w:szCs w:val="32"/>
      <w:lang w:val="zh-CN" w:eastAsia="zh-CN"/>
    </w:rPr>
  </w:style>
  <w:style w:type="character" w:customStyle="1" w:styleId="48">
    <w:name w:val="标题 3 字符"/>
    <w:basedOn w:val="40"/>
    <w:link w:val="4"/>
    <w:qFormat/>
    <w:uiPriority w:val="0"/>
    <w:rPr>
      <w:rFonts w:ascii="宋体" w:hAnsi="宋体" w:eastAsia="华文细黑" w:cs="宋体"/>
      <w:bCs/>
      <w:kern w:val="0"/>
      <w:sz w:val="36"/>
      <w:szCs w:val="32"/>
      <w:lang w:val="zh-CN" w:eastAsia="zh-CN"/>
    </w:rPr>
  </w:style>
  <w:style w:type="character" w:customStyle="1" w:styleId="49">
    <w:name w:val="标题 4 字符"/>
    <w:basedOn w:val="40"/>
    <w:link w:val="5"/>
    <w:qFormat/>
    <w:uiPriority w:val="0"/>
    <w:rPr>
      <w:rFonts w:ascii="Arial" w:hAnsi="Arial" w:eastAsia="黑体" w:cs="宋体"/>
      <w:b/>
      <w:bCs/>
      <w:kern w:val="0"/>
      <w:sz w:val="28"/>
      <w:szCs w:val="28"/>
      <w:lang w:val="zh-CN" w:eastAsia="zh-CN"/>
    </w:rPr>
  </w:style>
  <w:style w:type="character" w:customStyle="1" w:styleId="50">
    <w:name w:val="标题 5 字符"/>
    <w:basedOn w:val="40"/>
    <w:link w:val="6"/>
    <w:qFormat/>
    <w:uiPriority w:val="0"/>
    <w:rPr>
      <w:rFonts w:ascii="宋体" w:hAnsi="宋体" w:eastAsia="宋体" w:cs="宋体"/>
      <w:b/>
      <w:bCs/>
      <w:kern w:val="0"/>
      <w:sz w:val="28"/>
      <w:szCs w:val="28"/>
      <w:lang w:val="zh-CN" w:eastAsia="zh-CN"/>
    </w:rPr>
  </w:style>
  <w:style w:type="character" w:customStyle="1" w:styleId="51">
    <w:name w:val="标题 6 字符"/>
    <w:basedOn w:val="40"/>
    <w:link w:val="7"/>
    <w:qFormat/>
    <w:uiPriority w:val="0"/>
    <w:rPr>
      <w:rFonts w:ascii="Arial" w:hAnsi="Arial" w:eastAsia="黑体" w:cs="宋体"/>
      <w:b/>
      <w:bCs/>
      <w:kern w:val="0"/>
      <w:sz w:val="24"/>
      <w:szCs w:val="24"/>
      <w:lang w:val="zh-CN" w:eastAsia="zh-CN"/>
    </w:rPr>
  </w:style>
  <w:style w:type="character" w:customStyle="1" w:styleId="52">
    <w:name w:val="标题 7 字符"/>
    <w:basedOn w:val="40"/>
    <w:link w:val="8"/>
    <w:qFormat/>
    <w:uiPriority w:val="0"/>
    <w:rPr>
      <w:rFonts w:ascii="宋体" w:hAnsi="宋体" w:eastAsia="宋体" w:cs="宋体"/>
      <w:b/>
      <w:bCs/>
      <w:kern w:val="0"/>
      <w:sz w:val="24"/>
      <w:szCs w:val="24"/>
      <w:lang w:val="zh-CN" w:eastAsia="zh-CN"/>
    </w:rPr>
  </w:style>
  <w:style w:type="character" w:customStyle="1" w:styleId="53">
    <w:name w:val="标题 8 字符"/>
    <w:basedOn w:val="40"/>
    <w:link w:val="9"/>
    <w:qFormat/>
    <w:uiPriority w:val="0"/>
    <w:rPr>
      <w:rFonts w:ascii="Arial" w:hAnsi="Arial" w:eastAsia="黑体" w:cs="宋体"/>
      <w:kern w:val="0"/>
      <w:sz w:val="24"/>
      <w:szCs w:val="24"/>
      <w:lang w:val="zh-CN" w:eastAsia="zh-CN"/>
    </w:rPr>
  </w:style>
  <w:style w:type="character" w:customStyle="1" w:styleId="54">
    <w:name w:val="标题 9 字符"/>
    <w:basedOn w:val="40"/>
    <w:link w:val="10"/>
    <w:qFormat/>
    <w:uiPriority w:val="0"/>
    <w:rPr>
      <w:rFonts w:ascii="Arial" w:hAnsi="Arial" w:eastAsia="黑体" w:cs="宋体"/>
      <w:kern w:val="0"/>
      <w:sz w:val="24"/>
      <w:szCs w:val="21"/>
      <w:lang w:val="zh-CN" w:eastAsia="zh-CN"/>
    </w:rPr>
  </w:style>
  <w:style w:type="character" w:customStyle="1" w:styleId="55">
    <w:name w:val="批注文字 字符"/>
    <w:link w:val="14"/>
    <w:qFormat/>
    <w:uiPriority w:val="0"/>
    <w:rPr>
      <w:rFonts w:ascii="Times New Roman" w:hAnsi="Times New Roman"/>
      <w:szCs w:val="24"/>
    </w:rPr>
  </w:style>
  <w:style w:type="character" w:customStyle="1" w:styleId="56">
    <w:name w:val="批注文字 字符1"/>
    <w:basedOn w:val="40"/>
    <w:semiHidden/>
    <w:qFormat/>
    <w:uiPriority w:val="99"/>
  </w:style>
  <w:style w:type="character" w:customStyle="1" w:styleId="57">
    <w:name w:val="批注文字 Char1"/>
    <w:basedOn w:val="40"/>
    <w:qFormat/>
    <w:uiPriority w:val="0"/>
    <w:rPr>
      <w:rFonts w:ascii="Times New Roman" w:hAnsi="Times New Roman" w:eastAsia="宋体" w:cs="Times New Roman"/>
      <w:szCs w:val="24"/>
    </w:rPr>
  </w:style>
  <w:style w:type="character" w:customStyle="1" w:styleId="58">
    <w:name w:val="批注框文本 字符"/>
    <w:basedOn w:val="40"/>
    <w:link w:val="23"/>
    <w:qFormat/>
    <w:uiPriority w:val="0"/>
    <w:rPr>
      <w:rFonts w:ascii="宋体" w:hAnsi="宋体" w:eastAsia="宋体" w:cs="宋体"/>
      <w:kern w:val="0"/>
      <w:sz w:val="18"/>
      <w:szCs w:val="18"/>
      <w:lang w:val="zh-CN" w:eastAsia="zh-CN"/>
    </w:rPr>
  </w:style>
  <w:style w:type="character" w:customStyle="1" w:styleId="59">
    <w:name w:val="文档结构图 字符"/>
    <w:link w:val="13"/>
    <w:qFormat/>
    <w:uiPriority w:val="0"/>
    <w:rPr>
      <w:rFonts w:ascii="Times New Roman" w:hAnsi="Times New Roman"/>
      <w:sz w:val="24"/>
      <w:szCs w:val="24"/>
      <w:shd w:val="clear" w:color="auto" w:fill="000080"/>
    </w:rPr>
  </w:style>
  <w:style w:type="character" w:customStyle="1" w:styleId="60">
    <w:name w:val="文档结构图 字符1"/>
    <w:basedOn w:val="40"/>
    <w:semiHidden/>
    <w:qFormat/>
    <w:uiPriority w:val="99"/>
    <w:rPr>
      <w:rFonts w:ascii="Microsoft YaHei UI" w:eastAsia="Microsoft YaHei UI"/>
      <w:sz w:val="18"/>
      <w:szCs w:val="18"/>
    </w:rPr>
  </w:style>
  <w:style w:type="character" w:customStyle="1" w:styleId="61">
    <w:name w:val="文档结构图 Char1"/>
    <w:basedOn w:val="40"/>
    <w:qFormat/>
    <w:uiPriority w:val="0"/>
    <w:rPr>
      <w:rFonts w:ascii="宋体" w:hAnsi="Times New Roman" w:eastAsia="宋体" w:cs="Times New Roman"/>
      <w:sz w:val="18"/>
      <w:szCs w:val="18"/>
    </w:rPr>
  </w:style>
  <w:style w:type="character" w:customStyle="1" w:styleId="62">
    <w:name w:val="页眉 字符"/>
    <w:basedOn w:val="40"/>
    <w:link w:val="25"/>
    <w:qFormat/>
    <w:uiPriority w:val="0"/>
    <w:rPr>
      <w:rFonts w:ascii="宋体" w:hAnsi="宋体" w:eastAsia="宋体" w:cs="宋体"/>
      <w:kern w:val="0"/>
      <w:sz w:val="18"/>
      <w:szCs w:val="18"/>
    </w:rPr>
  </w:style>
  <w:style w:type="character" w:customStyle="1" w:styleId="63">
    <w:name w:val="日期 Char1"/>
    <w:basedOn w:val="40"/>
    <w:qFormat/>
    <w:uiPriority w:val="0"/>
    <w:rPr>
      <w:rFonts w:ascii="Times New Roman" w:hAnsi="Times New Roman" w:eastAsia="宋体" w:cs="Times New Roman"/>
      <w:szCs w:val="24"/>
    </w:rPr>
  </w:style>
  <w:style w:type="character" w:customStyle="1" w:styleId="64">
    <w:name w:val="页脚 字符"/>
    <w:basedOn w:val="40"/>
    <w:link w:val="24"/>
    <w:qFormat/>
    <w:uiPriority w:val="99"/>
    <w:rPr>
      <w:rFonts w:ascii="宋体" w:hAnsi="宋体" w:eastAsia="宋体" w:cs="宋体"/>
      <w:kern w:val="0"/>
      <w:sz w:val="18"/>
      <w:szCs w:val="18"/>
    </w:rPr>
  </w:style>
  <w:style w:type="character" w:customStyle="1" w:styleId="65">
    <w:name w:val="批注主题 字符"/>
    <w:basedOn w:val="56"/>
    <w:link w:val="37"/>
    <w:qFormat/>
    <w:uiPriority w:val="0"/>
    <w:rPr>
      <w:rFonts w:ascii="Times New Roman" w:hAnsi="Times New Roman"/>
      <w:b/>
      <w:bCs/>
      <w:szCs w:val="24"/>
    </w:rPr>
  </w:style>
  <w:style w:type="paragraph" w:customStyle="1" w:styleId="66">
    <w:name w:val="Revision"/>
    <w:hidden/>
    <w:qFormat/>
    <w:uiPriority w:val="71"/>
    <w:rPr>
      <w:rFonts w:ascii="Times New Roman" w:hAnsi="Times New Roman" w:eastAsia="宋体" w:cs="Times New Roman"/>
      <w:kern w:val="2"/>
      <w:sz w:val="21"/>
      <w:szCs w:val="24"/>
      <w:lang w:val="en-US" w:eastAsia="zh-CN" w:bidi="ar-SA"/>
    </w:rPr>
  </w:style>
  <w:style w:type="paragraph" w:customStyle="1" w:styleId="67">
    <w:name w:val="彩色底纹 - 强调文字颜色 11"/>
    <w:hidden/>
    <w:semiHidden/>
    <w:qFormat/>
    <w:uiPriority w:val="99"/>
    <w:rPr>
      <w:rFonts w:ascii="Times New Roman" w:hAnsi="Times New Roman" w:eastAsia="宋体" w:cs="Times New Roman"/>
      <w:kern w:val="2"/>
      <w:sz w:val="21"/>
      <w:szCs w:val="24"/>
      <w:lang w:val="en-US" w:eastAsia="zh-CN" w:bidi="ar-SA"/>
    </w:rPr>
  </w:style>
  <w:style w:type="character" w:customStyle="1" w:styleId="68">
    <w:name w:val="纯文本 字符"/>
    <w:basedOn w:val="40"/>
    <w:link w:val="19"/>
    <w:qFormat/>
    <w:uiPriority w:val="0"/>
    <w:rPr>
      <w:rFonts w:ascii="宋体" w:hAnsi="Courier New" w:eastAsia="宋体" w:cs="Courier New"/>
      <w:kern w:val="0"/>
      <w:sz w:val="24"/>
      <w:szCs w:val="21"/>
    </w:rPr>
  </w:style>
  <w:style w:type="character" w:customStyle="1" w:styleId="69">
    <w:name w:val="正文文本 字符"/>
    <w:basedOn w:val="40"/>
    <w:link w:val="15"/>
    <w:qFormat/>
    <w:uiPriority w:val="0"/>
    <w:rPr>
      <w:rFonts w:ascii="宋体" w:hAnsi="宋体" w:eastAsia="宋体" w:cs="宋体"/>
      <w:b/>
      <w:bCs/>
      <w:kern w:val="0"/>
      <w:sz w:val="24"/>
      <w:szCs w:val="24"/>
    </w:rPr>
  </w:style>
  <w:style w:type="character" w:customStyle="1" w:styleId="70">
    <w:name w:val="正文文本缩进 2 字符"/>
    <w:basedOn w:val="40"/>
    <w:link w:val="22"/>
    <w:qFormat/>
    <w:uiPriority w:val="0"/>
    <w:rPr>
      <w:rFonts w:ascii="宋体" w:hAnsi="宋体" w:eastAsia="仿宋_GB2312" w:cs="宋体"/>
      <w:kern w:val="0"/>
      <w:sz w:val="32"/>
      <w:szCs w:val="24"/>
    </w:rPr>
  </w:style>
  <w:style w:type="character" w:customStyle="1" w:styleId="71">
    <w:name w:val="正文文本缩进 字符"/>
    <w:basedOn w:val="40"/>
    <w:link w:val="16"/>
    <w:qFormat/>
    <w:uiPriority w:val="0"/>
    <w:rPr>
      <w:rFonts w:ascii="宋体" w:hAnsi="宋体" w:eastAsia="宋体" w:cs="宋体"/>
      <w:kern w:val="0"/>
      <w:sz w:val="24"/>
      <w:szCs w:val="20"/>
    </w:rPr>
  </w:style>
  <w:style w:type="character" w:customStyle="1" w:styleId="72">
    <w:name w:val="正文文本缩进 3 字符"/>
    <w:basedOn w:val="40"/>
    <w:link w:val="30"/>
    <w:qFormat/>
    <w:uiPriority w:val="0"/>
    <w:rPr>
      <w:rFonts w:ascii="宋体" w:hAnsi="宋体" w:eastAsia="宋体" w:cs="宋体"/>
      <w:kern w:val="0"/>
      <w:sz w:val="24"/>
      <w:szCs w:val="24"/>
    </w:rPr>
  </w:style>
  <w:style w:type="character" w:customStyle="1" w:styleId="73">
    <w:name w:val="正文文本 2 字符"/>
    <w:basedOn w:val="40"/>
    <w:link w:val="33"/>
    <w:qFormat/>
    <w:uiPriority w:val="0"/>
    <w:rPr>
      <w:rFonts w:ascii="楷体_GB2312" w:hAnsi="宋体" w:eastAsia="楷体_GB2312" w:cs="宋体"/>
      <w:color w:val="000000"/>
      <w:kern w:val="0"/>
      <w:sz w:val="24"/>
      <w:szCs w:val="21"/>
    </w:rPr>
  </w:style>
  <w:style w:type="character" w:customStyle="1" w:styleId="74">
    <w:name w:val="日期 字符"/>
    <w:link w:val="21"/>
    <w:qFormat/>
    <w:uiPriority w:val="0"/>
    <w:rPr>
      <w:szCs w:val="24"/>
    </w:rPr>
  </w:style>
  <w:style w:type="character" w:customStyle="1" w:styleId="75">
    <w:name w:val="日期 字符1"/>
    <w:basedOn w:val="40"/>
    <w:semiHidden/>
    <w:qFormat/>
    <w:uiPriority w:val="99"/>
  </w:style>
  <w:style w:type="character" w:customStyle="1" w:styleId="76">
    <w:name w:val="日期 Char2"/>
    <w:basedOn w:val="40"/>
    <w:semiHidden/>
    <w:qFormat/>
    <w:uiPriority w:val="0"/>
    <w:rPr>
      <w:rFonts w:ascii="Times New Roman" w:hAnsi="Times New Roman" w:eastAsia="宋体" w:cs="Times New Roman"/>
      <w:szCs w:val="24"/>
    </w:rPr>
  </w:style>
  <w:style w:type="paragraph" w:customStyle="1" w:styleId="77">
    <w:name w:val="Char"/>
    <w:basedOn w:val="1"/>
    <w:qFormat/>
    <w:uiPriority w:val="0"/>
    <w:pPr>
      <w:widowControl/>
      <w:tabs>
        <w:tab w:val="left" w:pos="360"/>
      </w:tabs>
      <w:jc w:val="left"/>
    </w:pPr>
    <w:rPr>
      <w:rFonts w:ascii="宋体" w:hAnsi="宋体" w:eastAsia="宋体" w:cs="宋体"/>
      <w:kern w:val="0"/>
      <w:sz w:val="24"/>
      <w:szCs w:val="24"/>
    </w:rPr>
  </w:style>
  <w:style w:type="paragraph" w:customStyle="1" w:styleId="78">
    <w:name w:val="彩色列表 - 强调文字颜色 11"/>
    <w:basedOn w:val="1"/>
    <w:qFormat/>
    <w:uiPriority w:val="0"/>
    <w:pPr>
      <w:widowControl/>
      <w:ind w:firstLine="420" w:firstLineChars="200"/>
      <w:jc w:val="left"/>
    </w:pPr>
    <w:rPr>
      <w:rFonts w:ascii="Calibri" w:hAnsi="Calibri" w:eastAsia="宋体" w:cs="宋体"/>
      <w:kern w:val="0"/>
      <w:sz w:val="24"/>
    </w:rPr>
  </w:style>
  <w:style w:type="paragraph" w:customStyle="1" w:styleId="79">
    <w:name w:val="Char Char Char Char"/>
    <w:basedOn w:val="1"/>
    <w:qFormat/>
    <w:uiPriority w:val="0"/>
    <w:pPr>
      <w:widowControl/>
      <w:tabs>
        <w:tab w:val="left" w:pos="360"/>
      </w:tabs>
      <w:jc w:val="left"/>
    </w:pPr>
    <w:rPr>
      <w:rFonts w:ascii="宋体" w:hAnsi="宋体" w:eastAsia="宋体" w:cs="宋体"/>
      <w:kern w:val="0"/>
      <w:sz w:val="24"/>
      <w:szCs w:val="24"/>
    </w:rPr>
  </w:style>
  <w:style w:type="paragraph" w:customStyle="1" w:styleId="80">
    <w:name w:val="Char1"/>
    <w:basedOn w:val="1"/>
    <w:qFormat/>
    <w:uiPriority w:val="0"/>
    <w:pPr>
      <w:widowControl/>
      <w:tabs>
        <w:tab w:val="left" w:pos="360"/>
      </w:tabs>
      <w:jc w:val="left"/>
    </w:pPr>
    <w:rPr>
      <w:rFonts w:ascii="宋体" w:hAnsi="宋体" w:eastAsia="宋体" w:cs="宋体"/>
      <w:kern w:val="0"/>
      <w:sz w:val="24"/>
      <w:szCs w:val="24"/>
    </w:rPr>
  </w:style>
  <w:style w:type="character" w:customStyle="1" w:styleId="81">
    <w:name w:val="defaultfont1"/>
    <w:basedOn w:val="40"/>
    <w:qFormat/>
    <w:uiPriority w:val="0"/>
  </w:style>
  <w:style w:type="character" w:customStyle="1" w:styleId="82">
    <w:name w:val="标题 字符"/>
    <w:basedOn w:val="40"/>
    <w:link w:val="36"/>
    <w:qFormat/>
    <w:uiPriority w:val="0"/>
    <w:rPr>
      <w:rFonts w:ascii="Cambria" w:hAnsi="Cambria" w:eastAsia="宋体" w:cs="宋体"/>
      <w:b/>
      <w:bCs/>
      <w:kern w:val="0"/>
      <w:sz w:val="32"/>
      <w:szCs w:val="32"/>
    </w:rPr>
  </w:style>
  <w:style w:type="character" w:customStyle="1" w:styleId="83">
    <w:name w:val="Char Char16"/>
    <w:qFormat/>
    <w:uiPriority w:val="0"/>
    <w:rPr>
      <w:rFonts w:ascii="华文细黑" w:hAnsi="Arial" w:eastAsia="宋体"/>
      <w:b/>
      <w:bCs/>
      <w:sz w:val="44"/>
      <w:szCs w:val="32"/>
      <w:lang w:val="en-US" w:eastAsia="zh-CN" w:bidi="ar-SA"/>
    </w:rPr>
  </w:style>
  <w:style w:type="character" w:customStyle="1" w:styleId="84">
    <w:name w:val="正文文本 (32) + 10.5 pt5"/>
    <w:qFormat/>
    <w:uiPriority w:val="99"/>
    <w:rPr>
      <w:rFonts w:ascii="MingLiU" w:eastAsia="MingLiU" w:cs="MingLiU"/>
      <w:sz w:val="21"/>
      <w:szCs w:val="21"/>
      <w:u w:val="none"/>
    </w:rPr>
  </w:style>
  <w:style w:type="character" w:customStyle="1" w:styleId="85">
    <w:name w:val="正文文本 (2)_"/>
    <w:link w:val="86"/>
    <w:qFormat/>
    <w:uiPriority w:val="99"/>
    <w:rPr>
      <w:rFonts w:ascii="MingLiU" w:eastAsia="MingLiU" w:cs="MingLiU"/>
      <w:spacing w:val="20"/>
      <w:sz w:val="19"/>
      <w:szCs w:val="19"/>
      <w:shd w:val="clear" w:color="auto" w:fill="FFFFFF"/>
    </w:rPr>
  </w:style>
  <w:style w:type="paragraph" w:customStyle="1" w:styleId="86">
    <w:name w:val="正文文本 (2)1"/>
    <w:basedOn w:val="1"/>
    <w:link w:val="85"/>
    <w:qFormat/>
    <w:uiPriority w:val="99"/>
    <w:pPr>
      <w:widowControl/>
      <w:shd w:val="clear" w:color="auto" w:fill="FFFFFF"/>
      <w:spacing w:after="1320" w:line="240" w:lineRule="atLeast"/>
      <w:jc w:val="left"/>
    </w:pPr>
    <w:rPr>
      <w:rFonts w:ascii="MingLiU" w:eastAsia="MingLiU" w:cs="MingLiU"/>
      <w:spacing w:val="20"/>
      <w:sz w:val="19"/>
      <w:szCs w:val="19"/>
    </w:rPr>
  </w:style>
  <w:style w:type="character" w:customStyle="1" w:styleId="87">
    <w:name w:val="正文文本 (32) + 10.5 pt"/>
    <w:qFormat/>
    <w:uiPriority w:val="99"/>
    <w:rPr>
      <w:rFonts w:ascii="MingLiU" w:eastAsia="MingLiU" w:cs="MingLiU"/>
      <w:sz w:val="21"/>
      <w:szCs w:val="21"/>
      <w:u w:val="none"/>
    </w:rPr>
  </w:style>
  <w:style w:type="character" w:customStyle="1" w:styleId="88">
    <w:name w:val="正文文本 (2) + 6 pt"/>
    <w:qFormat/>
    <w:uiPriority w:val="99"/>
    <w:rPr>
      <w:rFonts w:ascii="MingLiU" w:eastAsia="MingLiU" w:cs="MingLiU"/>
      <w:spacing w:val="0"/>
      <w:sz w:val="12"/>
      <w:szCs w:val="12"/>
      <w:u w:val="none"/>
      <w:shd w:val="clear" w:color="auto" w:fill="FFFFFF"/>
    </w:rPr>
  </w:style>
  <w:style w:type="paragraph" w:customStyle="1" w:styleId="89">
    <w:name w:val="Default"/>
    <w:qFormat/>
    <w:uiPriority w:val="0"/>
    <w:pPr>
      <w:widowControl w:val="0"/>
      <w:autoSpaceDE w:val="0"/>
      <w:autoSpaceDN w:val="0"/>
      <w:adjustRightInd w:val="0"/>
    </w:pPr>
    <w:rPr>
      <w:rFonts w:ascii="宋体" w:hAnsi="宋体" w:eastAsia="宋体" w:cs="宋体"/>
      <w:color w:val="000000"/>
      <w:kern w:val="0"/>
      <w:sz w:val="24"/>
      <w:szCs w:val="24"/>
      <w:lang w:val="en-US" w:eastAsia="zh-CN" w:bidi="ar-SA"/>
    </w:rPr>
  </w:style>
  <w:style w:type="paragraph" w:customStyle="1" w:styleId="90">
    <w:name w:val="reader-word-layer reader-word-s1-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1">
    <w:name w:val="reader-word-layer reader-word-s1-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2">
    <w:name w:val="reader-word-layer reader-word-s1-7"/>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wmf"/><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150</Pages>
  <Words>15346</Words>
  <Characters>87473</Characters>
  <Lines>728</Lines>
  <Paragraphs>205</Paragraphs>
  <TotalTime>17</TotalTime>
  <ScaleCrop>false</ScaleCrop>
  <LinksUpToDate>false</LinksUpToDate>
  <CharactersWithSpaces>102614</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2020-08-28T10:55:00Z</dcterms:created>
  <dc:creator>靳 欢</dc:creator>
  <cp:lastModifiedBy>颜丽萍</cp:lastModifiedBy>
  <cp:lastPrinted>2021-03-17T08:59:00Z</cp:lastPrinted>
  <dcterms:modified xsi:type="dcterms:W3CDTF">2021-04-09T11:48:01Z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ICV">
    <vt:lpwstr>F92389A1C4FE468DBC615E152C277CD4</vt:lpwstr>
  </property>
</Properties>
</file>